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Beirats- und Gesellschafterprotokolle, Auszüge</w:t>
      </w:r>
    </w:p>
    <w:p>
      <w:pPr>
        <w:pStyle w:val="Heading2"/>
      </w:pPr>
      <w:r>
        <w:rPr>
          <w:rFonts w:ascii="Times New Roman" w:hAnsi="Times New Roman"/>
        </w:rPr>
        <w:t>1. Sitzung 14.02.2025</w:t>
      </w:r>
    </w:p>
    <w:p>
      <w:pPr>
        <w:jc w:val="left"/>
      </w:pPr>
      <w:r>
        <w:t>FrankenHealth verlangt Kostensenkung und Verschiebung der zweiten klinischen Studie. Dr. Vogt widerspricht, weil sonst die CE-Roadmap scheitere. Beschluss: Studie wird um drei Monate verschoben, Dr. Vogt soll Alternativbudget vorlegen. Abstimmung 68 Prozent dafür, 32 Prozent dagegen.</w:t>
      </w:r>
    </w:p>
    <w:p>
      <w:pPr>
        <w:pStyle w:val="Heading2"/>
      </w:pPr>
      <w:r>
        <w:rPr>
          <w:rFonts w:ascii="Times New Roman" w:hAnsi="Times New Roman"/>
        </w:rPr>
        <w:t>2. Sitzung 20.11.2025</w:t>
      </w:r>
    </w:p>
    <w:p>
      <w:pPr>
        <w:jc w:val="left"/>
      </w:pPr>
      <w:r>
        <w:t>Dr. Vogt verweigert Patentlizenz an US-Partner, weil er Exklusivität für gefährlich hält. Beschluss nicht erreicht, weil 75 Prozent erforderlich sind. Dr. Vogt blockiert mit seinen Stimmen den Verkauf der Patentfamilie NLM-4.</w:t>
      </w:r>
    </w:p>
    <w:p>
      <w:pPr>
        <w:pStyle w:val="Heading2"/>
      </w:pPr>
      <w:r>
        <w:rPr>
          <w:rFonts w:ascii="Times New Roman" w:hAnsi="Times New Roman"/>
        </w:rPr>
        <w:t>3. Sitzung 06.05.2026</w:t>
      </w:r>
    </w:p>
    <w:p>
      <w:pPr>
        <w:jc w:val="left"/>
      </w:pPr>
      <w:r>
        <w:t>Beirat weist Dr. Vogt an, zwei Entwicklerstellen erst nach Finanzierungszusage zu besetzen. Dr. Vogt akzeptiert unter Protest. Dieser Vorgang spricht für Weisungsunterworfenheit bei laufender Personal- und Budgetsteuerung.</w:t>
      </w:r>
    </w:p>
    <w:p>
      <w:pPr>
        <w:pStyle w:val="Heading2"/>
      </w:pPr>
      <w:r>
        <w:rPr>
          <w:rFonts w:ascii="Times New Roman" w:hAnsi="Times New Roman"/>
        </w:rPr>
        <w:t>4. Auswertungsvermerk</w:t>
      </w:r>
    </w:p>
    <w:p>
      <w:pPr>
        <w:jc w:val="left"/>
      </w:pPr>
      <w:r>
        <w:t>Die Protokolle zeigen zweierlei: echte Blockademacht bei Strukturentscheidungen und fehlende Durchsetzungsmacht im Tagesgeschäft. Die DRV wird voraussichtlich genau diese Trennung aufgreifen.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