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C0032-Arbeitsmatrix</w:t>
      </w:r>
    </w:p>
    <w:p>
      <w:pPr>
        <w:pStyle w:val="Heading2"/>
      </w:pPr>
      <w:r>
        <w:rPr>
          <w:rFonts w:ascii="Times New Roman" w:hAnsi="Times New Roman"/>
        </w:rPr>
        <w:t>1. Formularbezogene Angaben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C0032-Thema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Aktenstand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Anteilshöhe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 Prozent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keine Mehrheit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Beschlussfassung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einfache Mehrheit, 75 Prozent für Struktur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Sperrminorität nicht umfassend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Geschäftsführervertrag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feste Vergütung, Urlaub, Krankheit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Beschäftigungsindiz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Alleinvertretung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ja, aber Zustimmungsvorbehalte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neutral bis 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Bürgschaft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400.000 EUR persönlich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Unternehmerrisiko, aber nicht zwingend Rechtsmacht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Know-how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Gründer und Patentautor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faktische Macht, rechtlich begrenzt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Rückfragen an Mandantin</w:t>
      </w:r>
    </w:p>
    <w:p>
      <w:pPr>
        <w:pStyle w:val="ListNumber"/>
      </w:pPr>
      <w:r>
        <w:t>Gibt es eine Geschäftsordnung neben Satzung und Vertrag?</w:t>
      </w:r>
    </w:p>
    <w:p>
      <w:pPr>
        <w:pStyle w:val="ListNumber"/>
      </w:pPr>
      <w:r>
        <w:t>Wurde Dr. Vogt jemals gegen seinen Willen angewiesen?</w:t>
      </w:r>
    </w:p>
    <w:p>
      <w:pPr>
        <w:pStyle w:val="ListNumber"/>
      </w:pPr>
      <w:r>
        <w:t>Kann der Beirat sein Ressort fachlich begrenzen?</w:t>
      </w:r>
    </w:p>
    <w:p>
      <w:pPr>
        <w:pStyle w:val="ListNumber"/>
      </w:pPr>
      <w:r>
        <w:t>Sind Bürgschaft und Geschäftsführervergütung miteinander verknüpft?</w:t>
      </w:r>
    </w:p>
    <w:p>
      <w:pPr>
        <w:pStyle w:val="ListNumber"/>
      </w:pPr>
      <w:r>
        <w:t>Gab es seit 2023 Änderungen der Stimmrechte oder Nebenabreden?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