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Stellungnahmeentwurf Status Dr. Vogt</w:t>
      </w:r>
    </w:p>
    <w:p>
      <w:pPr>
        <w:pStyle w:val="Heading2"/>
      </w:pPr>
      <w:r>
        <w:rPr>
          <w:rFonts w:ascii="Times New Roman" w:hAnsi="Times New Roman"/>
        </w:rPr>
        <w:t>1. Tatsachenkern</w:t>
      </w:r>
    </w:p>
    <w:p>
      <w:pPr>
        <w:jc w:val="left"/>
      </w:pPr>
      <w:r>
        <w:t>Dr. Vogt ist Mitgründer, Geschäftsführer und Minderheitsgesellschafter. Er trägt ein erhebliches wirtschaftliches Risiko, besitzt technisches Schlüsselwissen und kann bestimmte Strukturentscheidungen blockieren. Zugleich ist er bei laufender Budget- und Personalsteuerung an Beirats- und Gesellschaftervorgaben gebunden.</w:t>
      </w:r>
    </w:p>
    <w:p>
      <w:pPr>
        <w:pStyle w:val="Heading2"/>
      </w:pPr>
      <w:r>
        <w:rPr>
          <w:rFonts w:ascii="Times New Roman" w:hAnsi="Times New Roman"/>
        </w:rPr>
        <w:t>2. Rechtliche Arbeitslinie</w:t>
      </w:r>
    </w:p>
    <w:p>
      <w:pPr>
        <w:jc w:val="left"/>
      </w:pPr>
      <w:r>
        <w:t>Die Stellungnahme stellt die Rechtsmacht aus dem Gesellschaftsvertrag in den Mittelpunkt. Faktische Autorität, Bürgschaft und Branchenwissen werden nur unterstützend verwendet. Die neuere BSG-Rechtsprechung verlangt eine belastbare Rechtsmacht, nicht nur Unentbehrlichkeit oder familiäre Rücksichtnahme.</w:t>
      </w:r>
    </w:p>
    <w:p>
      <w:pPr>
        <w:pStyle w:val="Heading2"/>
      </w:pPr>
      <w:r>
        <w:rPr>
          <w:rFonts w:ascii="Times New Roman" w:hAnsi="Times New Roman"/>
        </w:rPr>
        <w:t>3. Antrag</w:t>
      </w:r>
    </w:p>
    <w:p>
      <w:pPr>
        <w:jc w:val="left"/>
      </w:pPr>
      <w:r>
        <w:t>Primär wird beantragt, die Tätigkeit aufgrund der besonderen gesellschaftsrechtlichen Sperrposition als nicht versicherungspflichtig festzustellen. Hilfsweise wird um Hinweis gebeten, welche Tatsachen aus Sicht der Clearingstelle für eine gegenteilige Bewertung entscheidungserheblich sind, damit eine Anpassung der Satzung und der künftigen Abrechnung geprüft werden kann.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