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Optionen für Satzungsänderung und Zukunftsgestaltung</w:t>
      </w:r>
    </w:p>
    <w:p>
      <w:pPr>
        <w:pStyle w:val="Heading2"/>
      </w:pPr>
      <w:r>
        <w:rPr>
          <w:rFonts w:ascii="Times New Roman" w:hAnsi="Times New Roman"/>
        </w:rPr>
        <w:t>1. Ziel</w:t>
      </w:r>
    </w:p>
    <w:p>
      <w:pPr>
        <w:jc w:val="left"/>
      </w:pPr>
      <w:r>
        <w:t>Wenn das laufende Verfahren ungünstig ausgeht, soll die Zukunft rechtssicher gestaltet werden. Eine rückwirkende Satzungsänderung heilt den vergangenen Status nicht. Für die Zukunft sind klare und wirksame gesellschaftsrechtliche Rechte erforderlich.</w:t>
      </w:r>
    </w:p>
    <w:p>
      <w:pPr>
        <w:pStyle w:val="Heading2"/>
      </w:pPr>
      <w:r>
        <w:rPr>
          <w:rFonts w:ascii="Times New Roman" w:hAnsi="Times New Roman"/>
        </w:rPr>
        <w:t>2. Optionen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Wirkung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Haken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Anteilserhöhung auf 50 Prozent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stärkere Blockademacht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Fonds gibt Kontrolle ab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umfassende Sperrminorität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Weisungen im Anstellungsverhältnis blockierbar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muss gesellschaftsvertraglich sauber sein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echte Selbständigkeit außerhalb GmbH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Beratungsvertrag statt Geschäftsführerrolle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Organstellung bleibt problematisch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reguläre Beschäftigung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Beitragsklarheit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Nachzahlung und Nettolohnfragen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3. Umsetzungshinweis</w:t>
      </w:r>
    </w:p>
    <w:p>
      <w:pPr>
        <w:jc w:val="left"/>
      </w:pPr>
      <w:r>
        <w:t>Keine kosmetische Nebenabrede. Die rechtliche Macht muss aus Satzung, Beschlusslage und tatsächlicher Durchführung folgen. Parallel sind Payroll, D&amp;O, Pensionszusage und Gesellschafterdarlehen zu prüfen.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