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Telefonnotiz – Erstkontakt Mandantin Albrecht</w:t>
      </w:r>
    </w:p>
    <w:p>
      <w:pPr>
        <w:ind w:left="567"/>
      </w:pPr>
      <w:r>
        <w:rPr>
          <w:b/>
          <w:i/>
        </w:rPr>
        <w:t>Kanzlei Mertens &amp; Partner, Rechtsanwälte</w:t>
      </w:r>
    </w:p>
    <w:p>
      <w:pPr>
        <w:ind w:left="567"/>
      </w:pPr>
      <w:r>
        <w:rPr>
          <w:i/>
        </w:rPr>
        <w:t>Königsallee 47 · 40212 Düsseldorf</w:t>
      </w:r>
    </w:p>
    <w:p>
      <w:pPr>
        <w:ind w:left="567"/>
      </w:pPr>
      <w:r>
        <w:rPr>
          <w:i/>
        </w:rPr>
        <w:t>Tel. 0211 / 88 44 20-0 · Fax 0211 / 88 44 20-99</w:t>
      </w:r>
    </w:p>
    <w:p>
      <w:pPr>
        <w:ind w:left="567"/>
      </w:pPr>
      <w:r>
        <w:rPr>
          <w:i/>
        </w:rPr>
        <w:t>info@mertens-partner-ra.de</w:t>
      </w:r>
    </w:p>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Notiz-Nr.</w:t>
            </w:r>
          </w:p>
        </w:tc>
        <w:tc>
          <w:tcPr>
            <w:tcW w:type="dxa" w:w="4536"/>
          </w:tcPr>
          <w:p>
            <w:r>
              <w:rPr>
                <w:rFonts w:ascii="Times New Roman" w:hAnsi="Times New Roman"/>
                <w:sz w:val="20"/>
              </w:rPr>
              <w:t>TN-2026-0312</w:t>
            </w:r>
          </w:p>
        </w:tc>
      </w:tr>
      <w:tr>
        <w:tc>
          <w:tcPr>
            <w:tcW w:type="dxa" w:w="4536"/>
          </w:tcPr>
          <w:p>
            <w:r>
              <w:rPr>
                <w:rFonts w:ascii="Times New Roman" w:hAnsi="Times New Roman"/>
                <w:b/>
                <w:sz w:val="20"/>
              </w:rPr>
              <w:t>Datum</w:t>
            </w:r>
          </w:p>
        </w:tc>
        <w:tc>
          <w:tcPr>
            <w:tcW w:type="dxa" w:w="4536"/>
          </w:tcPr>
          <w:p>
            <w:r>
              <w:rPr>
                <w:rFonts w:ascii="Times New Roman" w:hAnsi="Times New Roman"/>
                <w:sz w:val="20"/>
              </w:rPr>
              <w:t>Dienstag, 19. Mai 2026</w:t>
            </w:r>
          </w:p>
        </w:tc>
      </w:tr>
      <w:tr>
        <w:tc>
          <w:tcPr>
            <w:tcW w:type="dxa" w:w="4536"/>
          </w:tcPr>
          <w:p>
            <w:r>
              <w:rPr>
                <w:rFonts w:ascii="Times New Roman" w:hAnsi="Times New Roman"/>
                <w:b/>
                <w:sz w:val="20"/>
              </w:rPr>
              <w:t>Uhrzeit</w:t>
            </w:r>
          </w:p>
        </w:tc>
        <w:tc>
          <w:tcPr>
            <w:tcW w:type="dxa" w:w="4536"/>
          </w:tcPr>
          <w:p>
            <w:r>
              <w:rPr>
                <w:rFonts w:ascii="Times New Roman" w:hAnsi="Times New Roman"/>
                <w:sz w:val="20"/>
              </w:rPr>
              <w:t>18:32 Uhr</w:t>
            </w:r>
          </w:p>
        </w:tc>
      </w:tr>
      <w:tr>
        <w:tc>
          <w:tcPr>
            <w:tcW w:type="dxa" w:w="4536"/>
          </w:tcPr>
          <w:p>
            <w:r>
              <w:rPr>
                <w:rFonts w:ascii="Times New Roman" w:hAnsi="Times New Roman"/>
                <w:b/>
                <w:sz w:val="20"/>
              </w:rPr>
              <w:t>Dauer</w:t>
            </w:r>
          </w:p>
        </w:tc>
        <w:tc>
          <w:tcPr>
            <w:tcW w:type="dxa" w:w="4536"/>
          </w:tcPr>
          <w:p>
            <w:r>
              <w:rPr>
                <w:rFonts w:ascii="Times New Roman" w:hAnsi="Times New Roman"/>
                <w:sz w:val="20"/>
              </w:rPr>
              <w:t>ca. 22 Minuten</w:t>
            </w:r>
          </w:p>
        </w:tc>
      </w:tr>
      <w:tr>
        <w:tc>
          <w:tcPr>
            <w:tcW w:type="dxa" w:w="4536"/>
          </w:tcPr>
          <w:p>
            <w:r>
              <w:rPr>
                <w:rFonts w:ascii="Times New Roman" w:hAnsi="Times New Roman"/>
                <w:b/>
                <w:sz w:val="20"/>
              </w:rPr>
              <w:t>Gesprächspartnerin</w:t>
            </w:r>
          </w:p>
        </w:tc>
        <w:tc>
          <w:tcPr>
            <w:tcW w:type="dxa" w:w="4536"/>
          </w:tcPr>
          <w:p>
            <w:r>
              <w:rPr>
                <w:rFonts w:ascii="Times New Roman" w:hAnsi="Times New Roman"/>
                <w:sz w:val="20"/>
              </w:rPr>
              <w:t>Samira Albrecht, geb. 14.03.1991</w:t>
            </w:r>
          </w:p>
        </w:tc>
      </w:tr>
      <w:tr>
        <w:tc>
          <w:tcPr>
            <w:tcW w:type="dxa" w:w="4536"/>
          </w:tcPr>
          <w:p>
            <w:r>
              <w:rPr>
                <w:rFonts w:ascii="Times New Roman" w:hAnsi="Times New Roman"/>
                <w:b/>
                <w:sz w:val="20"/>
              </w:rPr>
              <w:t>Erreichbarkeit</w:t>
            </w:r>
          </w:p>
        </w:tc>
        <w:tc>
          <w:tcPr>
            <w:tcW w:type="dxa" w:w="4536"/>
          </w:tcPr>
          <w:p>
            <w:r>
              <w:rPr>
                <w:rFonts w:ascii="Times New Roman" w:hAnsi="Times New Roman"/>
                <w:sz w:val="20"/>
              </w:rPr>
              <w:t>0173 / 649 37 18</w:t>
            </w:r>
          </w:p>
        </w:tc>
      </w:tr>
      <w:tr>
        <w:tc>
          <w:tcPr>
            <w:tcW w:type="dxa" w:w="4536"/>
          </w:tcPr>
          <w:p>
            <w:r>
              <w:rPr>
                <w:rFonts w:ascii="Times New Roman" w:hAnsi="Times New Roman"/>
                <w:b/>
                <w:sz w:val="20"/>
              </w:rPr>
              <w:t>Verfasser</w:t>
            </w:r>
          </w:p>
        </w:tc>
        <w:tc>
          <w:tcPr>
            <w:tcW w:type="dxa" w:w="4536"/>
          </w:tcPr>
          <w:p>
            <w:r>
              <w:rPr>
                <w:rFonts w:ascii="Times New Roman" w:hAnsi="Times New Roman"/>
                <w:sz w:val="20"/>
              </w:rPr>
              <w:t>RAin Petra Mertens</w:t>
            </w:r>
          </w:p>
        </w:tc>
      </w:tr>
      <w:tr>
        <w:tc>
          <w:tcPr>
            <w:tcW w:type="dxa" w:w="4536"/>
          </w:tcPr>
          <w:p>
            <w:r>
              <w:rPr>
                <w:rFonts w:ascii="Times New Roman" w:hAnsi="Times New Roman"/>
                <w:b/>
                <w:sz w:val="20"/>
              </w:rPr>
              <w:t>Wiedervorlage</w:t>
            </w:r>
          </w:p>
        </w:tc>
        <w:tc>
          <w:tcPr>
            <w:tcW w:type="dxa" w:w="4536"/>
          </w:tcPr>
          <w:p>
            <w:r>
              <w:rPr>
                <w:rFonts w:ascii="Times New Roman" w:hAnsi="Times New Roman"/>
                <w:sz w:val="20"/>
              </w:rPr>
              <w:t>20.05.2026, 09:00 Uhr (FRIST-KRITISCH)</w:t>
            </w:r>
          </w:p>
        </w:tc>
      </w:tr>
    </w:tbl>
    <w:p/>
    <w:p>
      <w:pPr>
        <w:pStyle w:val="Heading2"/>
      </w:pPr>
      <w:r>
        <w:rPr>
          <w:rFonts w:ascii="Times New Roman" w:hAnsi="Times New Roman"/>
        </w:rPr>
        <w:t>Sachverhalt nach Schilderung der Anruferin</w:t>
      </w:r>
    </w:p>
    <w:p>
      <w:pPr>
        <w:jc w:val="left"/>
      </w:pPr>
      <w:r>
        <w:t>Frau Samira Albrecht meldete sich um 18:32 Uhr aufgewühlt und mit weinlicher Stimme. Sie gab an, sie habe heute Abend beim Öffnen des Briefkastens einen amtlichen Umschlag entdeckt, den sie zunächst als Werbung beiseitegelegt hatte. Erst beim zweiten Durchsehen des Stapels fiel ihr der gelbe Einschreibe-Umschlag des Amtsgerichts Düsseldorf auf. Der Strafbefehl sei bereits vor mehreren Tagen eingetroffen – sie könne nicht mit Sicherheit sagen, wann genau, da sie in der vergangenen Woche viel gearbeitet habe.</w:t>
      </w:r>
    </w:p>
    <w:p>
      <w:pPr>
        <w:jc w:val="left"/>
      </w:pPr>
      <w:r>
        <w:t>Frau Albrecht ist von Beruf medizinische Fachangestellte bei der Gemeinschaftspraxis Dr. Halberg &amp; Partner in Düsseldorf-Benrath. Sie befindet sich seit dem 01.04.2026 in einer neuen Arbeitsstelle und ist noch in der sechsmonatigen Probezeit. Sie lebt allein mit ihrer acht Jahre alten Tochter Lena und ist auf ihren Führerschein angewiesen, da sie ihre Tochter täglich zur Schule bringt und die Praxis mit öffentlichen Mitteln nur mit erheblichem Mehraufwand erreichbar wäre.</w:t>
      </w:r>
    </w:p>
    <w:p>
      <w:pPr>
        <w:pStyle w:val="Heading3"/>
      </w:pPr>
      <w:r>
        <w:rPr>
          <w:rFonts w:ascii="Times New Roman" w:hAnsi="Times New Roman"/>
        </w:rPr>
        <w:t>Angaben zu den Tatvorwürfen</w:t>
      </w:r>
    </w:p>
    <w:p>
      <w:pPr>
        <w:jc w:val="left"/>
      </w:pPr>
      <w:r>
        <w:rPr>
          <w:b/>
        </w:rPr>
        <w:t>Zum Ladendiebstahl:</w:t>
      </w:r>
    </w:p>
    <w:p>
      <w:pPr>
        <w:jc w:val="left"/>
      </w:pPr>
      <w:r>
        <w:t>Frau Albrecht schilderte, dass sie Mitte März 2026 in der Drogerie "Beauté &amp; Co" am Düsseldorfer Hauptbahnhof gewesen sei. Sie habe mehrere Artikel in der Hand gehalten und sei, wie sie sagte, "im Kopf ganz woanders" gewesen, weil ihre Tochter an diesem Tag krank war und sie eigentlich gar nicht hätte einkaufen sollen. Sie habe einen Lippenstift und eine Handcreme in der Manteltasche gehabt – bewusst oder unbewusst, daran könne sie sich nicht mehr erinnern. An der Kasse habe sie die anderen Waren bezahlt. Beim Verlassen des Geschäfts sei sie von einem Mann angesprochen worden (dem Ladendetektiv), der sie zurück in das Büro gebeten habe. Dort habe sie die Waren sofort aus der Tasche genommen, die Artikel zurückgegeben und sich mehrfach entschuldigt. Die Polizei sei dann gerufen worden, und sie habe eine Belehrung erhalten, aber keine Aussage gemacht – das bestätigte sie auf Nachfrage explizit: "Ich habe nichts unterschrieben, zumindest meine ich das."</w:t>
      </w:r>
    </w:p>
    <w:p>
      <w:pPr>
        <w:jc w:val="left"/>
      </w:pPr>
      <w:r>
        <w:rPr>
          <w:b/>
        </w:rPr>
        <w:t>Zur Unfallflucht:</w:t>
      </w:r>
    </w:p>
    <w:p>
      <w:pPr>
        <w:jc w:val="left"/>
      </w:pPr>
      <w:r>
        <w:t>Etwa zwei Wochen nach dem Ladendiebstahl-Vorfall, sie glaube Ende März oder Anfang April 2026, sei sie auf dem Parkdeck des Einkaufszentrums Arcaden Benrath gefahren und beim Einparken möglicherweise an ein anderes Fahrzeug gestoßen. Sie hat nach eigener Aussage nichts gespürt oder gehört. Als ihr Freund sie dann abends erwähnte, er habe gehört, dass auf dem Parkplatz ein Zettel hinterlassen worden sei, habe sie keine Vorstellung gehabt, ob das mit ihr zusammenhängen könnte. Etwa eine Woche später habe sie Post von der Polizei bekommen – einen Zeugenfragebogen, den sie nicht beantwortet habe, da sie nicht sicher war, ob sie überhaupt beteiligt war.</w:t>
      </w:r>
    </w:p>
    <w:p>
      <w:pPr>
        <w:pStyle w:val="Heading3"/>
      </w:pPr>
      <w:r>
        <w:rPr>
          <w:rFonts w:ascii="Times New Roman" w:hAnsi="Times New Roman"/>
        </w:rPr>
        <w:t>Angaben zur persönlichen Situation</w:t>
      </w:r>
    </w:p>
    <w:p>
      <w:pPr>
        <w:pStyle w:val="ListBullet"/>
      </w:pPr>
      <w:r>
        <w:rPr>
          <w:b/>
        </w:rPr>
        <w:t>Beruf:</w:t>
      </w:r>
      <w:r>
        <w:t xml:space="preserve"> Medizinische Fachangestellte, seit 01.04.2026 in Probezeit</w:t>
      </w:r>
    </w:p>
    <w:p>
      <w:pPr>
        <w:pStyle w:val="ListBullet"/>
      </w:pPr>
      <w:r>
        <w:rPr>
          <w:b/>
        </w:rPr>
        <w:t>Arbeitgeber:</w:t>
      </w:r>
      <w:r>
        <w:t xml:space="preserve"> Gemeinschaftspraxis Dr. Halberg &amp; Partner, Düsseldorf-Benrath</w:t>
      </w:r>
    </w:p>
    <w:p>
      <w:pPr>
        <w:pStyle w:val="ListBullet"/>
      </w:pPr>
      <w:r>
        <w:rPr>
          <w:b/>
        </w:rPr>
        <w:t>Einkommen:</w:t>
      </w:r>
      <w:r>
        <w:t xml:space="preserve"> ca. 1.780 EUR netto/Monat (Eigenschätzung)</w:t>
      </w:r>
    </w:p>
    <w:p>
      <w:pPr>
        <w:pStyle w:val="ListBullet"/>
      </w:pPr>
      <w:r>
        <w:rPr>
          <w:b/>
        </w:rPr>
        <w:t>Unterhaltspflichten:</w:t>
      </w:r>
      <w:r>
        <w:t xml:space="preserve"> Tochter Lena, 8 Jahre, im gemeinsamen Haushalt</w:t>
      </w:r>
    </w:p>
    <w:p>
      <w:pPr>
        <w:pStyle w:val="ListBullet"/>
      </w:pPr>
      <w:r>
        <w:rPr>
          <w:b/>
        </w:rPr>
        <w:t>Wohnsituation:</w:t>
      </w:r>
      <w:r>
        <w:t xml:space="preserve"> Mieterin, Miete ca. 740 EUR warm</w:t>
      </w:r>
    </w:p>
    <w:p>
      <w:pPr>
        <w:pStyle w:val="ListBullet"/>
      </w:pPr>
      <w:r>
        <w:rPr>
          <w:b/>
        </w:rPr>
        <w:t>Fahrerlaubnis:</w:t>
      </w:r>
      <w:r>
        <w:t xml:space="preserve"> Klasse B seit 2015, kein vorhandener Punktestand bekannt</w:t>
      </w:r>
    </w:p>
    <w:p>
      <w:pPr>
        <w:pStyle w:val="ListBullet"/>
      </w:pPr>
      <w:r>
        <w:rPr>
          <w:b/>
        </w:rPr>
        <w:t>Vorstrafen:</w:t>
      </w:r>
      <w:r>
        <w:t xml:space="preserve"> Nach eigenen Angaben keine</w:t>
      </w:r>
    </w:p>
    <w:p>
      <w:pPr>
        <w:jc w:val="left"/>
      </w:pPr>
      <w:r>
        <w:t>Frau Albrecht äußerte ausdrücklich die Sorge, dass ein Eintrag im Bundeszentralregister oder ein Fahrverbot zu ihrer Kündigung in der Probezeit führen könnte. Ihr Arbeitgeber verlange alle zwei Jahre ein erweitertes Führungszeugnis. Die Geldstrafe belaste sie auch finanziell erheblich.</w:t>
      </w:r>
    </w:p>
    <w:p/>
    <w:p>
      <w:pPr>
        <w:pStyle w:val="Heading2"/>
      </w:pPr>
      <w:r>
        <w:rPr>
          <w:rFonts w:ascii="Times New Roman" w:hAnsi="Times New Roman"/>
        </w:rPr>
        <w:t>Rechtliche Erste-Einschätzung (intern, vorläufig)</w:t>
      </w:r>
    </w:p>
    <w:p>
      <w:pPr>
        <w:pStyle w:val="ListNumber"/>
      </w:pPr>
      <w:r>
        <w:rPr>
          <w:b/>
        </w:rPr>
        <w:t>Fristlage kritisch:</w:t>
      </w:r>
      <w:r>
        <w:t xml:space="preserve"> Strafbefehl vom 08.05.2026, mutmaßliche Zustellung 10.05.2026 (Sonntag – tatsächliche Zustellung im Wege PZU zu prüfen). Einspruchsfrist 2 Wochen ab Zustellung (§ 410 Abs. 1 StPO). Fristende rechnerisch: </w:t>
      </w:r>
      <w:r>
        <w:rPr>
          <w:b/>
        </w:rPr>
        <w:t>24.05.2026 (Sonntag)</w:t>
      </w:r>
      <w:r>
        <w:t xml:space="preserve"> → Verlängerung auf </w:t>
      </w:r>
      <w:r>
        <w:rPr>
          <w:b/>
        </w:rPr>
        <w:t>Montag, 25.05.2026</w:t>
      </w:r>
      <w:r>
        <w:t xml:space="preserve"> (§ 43 Abs. 2 StPO). </w:t>
      </w:r>
      <w:r>
        <w:rPr>
          <w:b/>
        </w:rPr>
        <w:t>Verbleibende Frist: ca. 6 Werktage ab heute.</w:t>
      </w:r>
      <w:r>
        <w:t xml:space="preserve"> Einspruch muss unbedingt sofort eingelegt werden, ohne Begründung.</w:t>
      </w:r>
    </w:p>
    <w:p>
      <w:pPr>
        <w:pStyle w:val="ListNumber"/>
      </w:pPr>
      <w:r>
        <w:rPr>
          <w:b/>
        </w:rPr>
        <w:t>Strafbefehlsinhalt:</w:t>
      </w:r>
      <w:r>
        <w:t xml:space="preserve"> 60 Tagessätze à 55 EUR = Gesamtgeldstrafe 3.300 EUR + 1 Monat Fahrverbot. Diese Eintragung würde ins BZR aufgenommen und im Führungszeugnis erscheinen (§ 32 Abs. 2 Nr. 5 BZRG). Damit wäre der Arbeitgeber informiert, sobald das nächste Führungszeugnis verlangt wird.</w:t>
      </w:r>
    </w:p>
    <w:p>
      <w:pPr>
        <w:pStyle w:val="ListNumber"/>
      </w:pPr>
      <w:r>
        <w:rPr>
          <w:b/>
        </w:rPr>
        <w:t>Tagessatzhöhe:</w:t>
      </w:r>
      <w:r>
        <w:t xml:space="preserve"> 55 EUR/Tag bei netto 1.780 EUR mit einem unterhaltsberechtigten Kind erscheint überhöht. Richtwert: Monatsnetto geteilt durch 30, Abzug für Unterhaltsverpflichtungen möglich. Anpassungsantrag vorzubereiten.</w:t>
      </w:r>
    </w:p>
    <w:p>
      <w:pPr>
        <w:pStyle w:val="ListNumber"/>
      </w:pPr>
      <w:r>
        <w:rPr>
          <w:b/>
        </w:rPr>
        <w:t>§ 248a StGB (geringwertiger Diebstahl):</w:t>
      </w:r>
      <w:r>
        <w:t xml:space="preserve"> Warenwert 47,80 EUR liegt im Grenzbereich, der als geringwertig gilt. Einstellung nach §§ 153, 153a StPO gut argumentierbar bei Ersttäterin, vollständiger Rückgabe und Entschuldigung.</w:t>
      </w:r>
    </w:p>
    <w:p>
      <w:pPr>
        <w:pStyle w:val="ListNumber"/>
      </w:pPr>
      <w:r>
        <w:rPr>
          <w:b/>
        </w:rPr>
        <w:t>§ 142 StGB (unerlaubtes Entfernen vom Unfallort):</w:t>
      </w:r>
      <w:r>
        <w:t xml:space="preserve"> Subjektiver Tatbestand (Kenntnis vom Unfall) streitig. Einlassung erst nach Akteneinsicht sinnvoll. Parkhausvideo und Schadenshöhe zu prüfen.</w:t>
      </w:r>
    </w:p>
    <w:p/>
    <w:p>
      <w:pPr>
        <w:pStyle w:val="Heading2"/>
      </w:pPr>
      <w:r>
        <w:rPr>
          <w:rFonts w:ascii="Times New Roman" w:hAnsi="Times New Roman"/>
        </w:rPr>
        <w:t>Sofortmaßnahmen / Checkliste</w:t>
      </w:r>
    </w:p>
    <w:p>
      <w:pPr>
        <w:pStyle w:val="ListBullet"/>
      </w:pPr>
      <w:r>
        <w:t>[x] Mandantin über Frist und Soforteinspruch belehrt</w:t>
      </w:r>
    </w:p>
    <w:p>
      <w:pPr>
        <w:pStyle w:val="ListBullet"/>
      </w:pPr>
      <w:r>
        <w:t>[ ] Vollmacht per E-Mail vorab zusenden lassen (Scan genügt)</w:t>
      </w:r>
    </w:p>
    <w:p>
      <w:pPr>
        <w:pStyle w:val="ListBullet"/>
      </w:pPr>
      <w:r>
        <w:t>[ ] Original-Strafbefehl und gelben Umschlag (Rückseite!) einscannen und einreichen lassen</w:t>
      </w:r>
    </w:p>
    <w:p>
      <w:pPr>
        <w:pStyle w:val="ListBullet"/>
      </w:pPr>
      <w:r>
        <w:t>[ ] Gehaltsabrechnungen der letzten drei Monate anfordern</w:t>
      </w:r>
    </w:p>
    <w:p>
      <w:pPr>
        <w:pStyle w:val="ListBullet"/>
      </w:pPr>
      <w:r>
        <w:t>[ ] Fahrerlaubnisdaten (Karteikarte Fahrerlaubnisbehörde) anfordern</w:t>
      </w:r>
    </w:p>
    <w:p>
      <w:pPr>
        <w:pStyle w:val="ListBullet"/>
      </w:pPr>
      <w:r>
        <w:t>[ ] Einspruch unbeschränkt einlegen (noch heute oder spätestens morgen früh)</w:t>
      </w:r>
    </w:p>
    <w:p>
      <w:pPr>
        <w:pStyle w:val="ListBullet"/>
      </w:pPr>
      <w:r>
        <w:t>[ ] Akteneinsichtsantrag bei StA Düsseldorf stellen</w:t>
      </w:r>
    </w:p>
    <w:p>
      <w:pPr>
        <w:pStyle w:val="ListBullet"/>
      </w:pPr>
      <w:r>
        <w:t>[ ] Mandantin beruhigen: Probezeit-Kündigung nicht automatisch, Arbeitgeber erfährt nichts vor Rechtskraft und Führungszeugnisabruf</w:t>
      </w:r>
    </w:p>
    <w:p/>
    <w:p>
      <w:pPr>
        <w:pStyle w:val="Heading2"/>
      </w:pPr>
      <w:r>
        <w:rPr>
          <w:rFonts w:ascii="Times New Roman" w:hAnsi="Times New Roman"/>
        </w:rPr>
        <w:t>Gesprächsnotiz / Wörtliche Zitate (sinngemäß)</w:t>
      </w:r>
    </w:p>
    <w:p>
      <w:pPr>
        <w:ind w:left="567"/>
      </w:pPr>
      <w:r>
        <w:rPr>
          <w:i/>
        </w:rPr>
        <w:t>"Ich habe das wirklich nicht absichtlich getan. Ich weiß, das klingt blöd, aber an dem Tag war alles zu viel."</w:t>
      </w:r>
    </w:p>
    <w:p>
      <w:pPr>
        <w:ind w:left="567"/>
      </w:pPr>
      <w:r>
        <w:rPr>
          <w:i/>
        </w:rPr>
        <w:t>"Ich kann mir nicht leisten, den Führerschein zu verlieren. Mein Kind – ich bringe es jeden Morgen zur Schule."</w:t>
      </w:r>
    </w:p>
    <w:p>
      <w:pPr>
        <w:ind w:left="567"/>
      </w:pPr>
      <w:r>
        <w:rPr>
          <w:i/>
        </w:rPr>
        <w:t>"Was passiert, wenn mein Chef das erfährt? Ich bin noch in der Probezeit."</w:t>
      </w:r>
    </w:p>
    <w:p>
      <w:pPr>
        <w:jc w:val="left"/>
      </w:pPr>
      <w:r>
        <w:t>Frau Albrecht wirkte kooperativ und vertrauenswürdig. Keine Anzeichen für mangelnde Glaubwürdigkeit. Telefonat endete damit, dass sie die Vollmacht per WhatsApp-Scan schickt und den Strafbefehl mit Umschlag einscannt.</w:t>
      </w:r>
    </w:p>
    <w:p/>
    <w:p>
      <w:pPr>
        <w:jc w:val="left"/>
      </w:pPr>
      <w:r>
        <w:rPr>
          <w:i/>
        </w:rPr>
        <w:t>Telefonnotiz aufgenommen von: RAin Petra Mertens, 19.05.2026, 18:55 Uhr</w:t>
      </w:r>
    </w:p>
    <w:p>
      <w:pPr>
        <w:jc w:val="left"/>
      </w:pPr>
      <w:r>
        <w:rPr>
          <w:i/>
        </w:rPr>
        <w:t>Wiedervorlage: 20.05.2026, 09:00 Uhr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