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Auswertungsvermerk – Videoüberwachung und Kassenbon</w:t>
      </w:r>
    </w:p>
    <w:p>
      <w:pPr>
        <w:ind w:left="567"/>
      </w:pPr>
      <w:r>
        <w:rPr>
          <w:b/>
          <w:i/>
        </w:rPr>
        <w:t>Polizeipräsidium Düsseldorf</w:t>
      </w:r>
    </w:p>
    <w:p>
      <w:pPr>
        <w:ind w:left="567"/>
      </w:pPr>
      <w:r>
        <w:rPr>
          <w:i/>
        </w:rPr>
        <w:t>Kriminalkommissariat 32 – Eigentumsdelikte</w:t>
      </w:r>
    </w:p>
    <w:p>
      <w:pPr>
        <w:ind w:left="567"/>
      </w:pPr>
      <w:r>
        <w:rPr>
          <w:i/>
        </w:rPr>
        <w:t>Vorgangs-Nr.: 5780-VWG-0347-2026</w:t>
      </w:r>
    </w:p>
    <w:p>
      <w:pPr>
        <w:ind w:left="567"/>
      </w:pPr>
      <w:r>
        <w:rPr>
          <w:i/>
        </w:rPr>
        <w:t>Blatt: 17 d. A. (Auswertungsvermerk) und Bl. 4 (Kassenbon-Kopie)</w:t>
      </w:r>
    </w:p>
    <w:p/>
    <w:p>
      <w:pPr>
        <w:pStyle w:val="Heading2"/>
      </w:pPr>
      <w:r>
        <w:rPr>
          <w:rFonts w:ascii="Times New Roman" w:hAnsi="Times New Roman"/>
        </w:rPr>
        <w:t>Teil 1 – Auswertungsvermerk Videoüberwachung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Ersteller</w:t>
            </w:r>
          </w:p>
        </w:tc>
        <w:tc>
          <w:tcPr>
            <w:tcW w:type="dxa" w:w="4536"/>
          </w:tcPr>
          <w:p>
            <w:r>
              <w:rPr>
                <w:rFonts w:ascii="Times New Roman" w:hAnsi="Times New Roman"/>
                <w:sz w:val="20"/>
              </w:rPr>
              <w:t>PHK'in Monika König, KK 32</w:t>
            </w:r>
          </w:p>
        </w:tc>
      </w:tr>
      <w:tr>
        <w:tc>
          <w:tcPr>
            <w:tcW w:type="dxa" w:w="4536"/>
          </w:tcPr>
          <w:p>
            <w:r>
              <w:rPr>
                <w:rFonts w:ascii="Times New Roman" w:hAnsi="Times New Roman"/>
                <w:b/>
                <w:sz w:val="20"/>
              </w:rPr>
              <w:t>Datum</w:t>
            </w:r>
          </w:p>
        </w:tc>
        <w:tc>
          <w:tcPr>
            <w:tcW w:type="dxa" w:w="4536"/>
          </w:tcPr>
          <w:p>
            <w:r>
              <w:rPr>
                <w:rFonts w:ascii="Times New Roman" w:hAnsi="Times New Roman"/>
                <w:sz w:val="20"/>
              </w:rPr>
              <w:t>18. März 2026</w:t>
            </w:r>
          </w:p>
        </w:tc>
      </w:tr>
      <w:tr>
        <w:tc>
          <w:tcPr>
            <w:tcW w:type="dxa" w:w="4536"/>
          </w:tcPr>
          <w:p>
            <w:r>
              <w:rPr>
                <w:rFonts w:ascii="Times New Roman" w:hAnsi="Times New Roman"/>
                <w:b/>
                <w:sz w:val="20"/>
              </w:rPr>
              <w:t>Aktenzeichen</w:t>
            </w:r>
          </w:p>
        </w:tc>
        <w:tc>
          <w:tcPr>
            <w:tcW w:type="dxa" w:w="4536"/>
          </w:tcPr>
          <w:p>
            <w:r>
              <w:rPr>
                <w:rFonts w:ascii="Times New Roman" w:hAnsi="Times New Roman"/>
                <w:sz w:val="20"/>
              </w:rPr>
              <w:t>402 Js 1182/26</w:t>
            </w:r>
          </w:p>
        </w:tc>
      </w:tr>
      <w:tr>
        <w:tc>
          <w:tcPr>
            <w:tcW w:type="dxa" w:w="4536"/>
          </w:tcPr>
          <w:p>
            <w:r>
              <w:rPr>
                <w:rFonts w:ascii="Times New Roman" w:hAnsi="Times New Roman"/>
                <w:b/>
                <w:sz w:val="20"/>
              </w:rPr>
              <w:t>Sicherungsnr. Datenmaterial</w:t>
            </w:r>
          </w:p>
        </w:tc>
        <w:tc>
          <w:tcPr>
            <w:tcW w:type="dxa" w:w="4536"/>
          </w:tcPr>
          <w:p>
            <w:r>
              <w:rPr>
                <w:rFonts w:ascii="Times New Roman" w:hAnsi="Times New Roman"/>
                <w:sz w:val="20"/>
              </w:rPr>
              <w:t>DS-0347-26</w:t>
            </w:r>
          </w:p>
        </w:tc>
      </w:tr>
      <w:tr>
        <w:tc>
          <w:tcPr>
            <w:tcW w:type="dxa" w:w="4536"/>
          </w:tcPr>
          <w:p>
            <w:r>
              <w:rPr>
                <w:rFonts w:ascii="Times New Roman" w:hAnsi="Times New Roman"/>
                <w:b/>
                <w:sz w:val="20"/>
              </w:rPr>
              <w:t>Kamera-System</w:t>
            </w:r>
          </w:p>
        </w:tc>
        <w:tc>
          <w:tcPr>
            <w:tcW w:type="dxa" w:w="4536"/>
          </w:tcPr>
          <w:p>
            <w:r>
              <w:rPr>
                <w:rFonts w:ascii="Times New Roman" w:hAnsi="Times New Roman"/>
                <w:sz w:val="20"/>
              </w:rPr>
              <w:t>Hikvision DS-2CD2143G2-I, Deckeninstallation, 4 MP Auflösung</w:t>
            </w:r>
          </w:p>
        </w:tc>
      </w:tr>
      <w:tr>
        <w:tc>
          <w:tcPr>
            <w:tcW w:type="dxa" w:w="4536"/>
          </w:tcPr>
          <w:p>
            <w:r>
              <w:rPr>
                <w:rFonts w:ascii="Times New Roman" w:hAnsi="Times New Roman"/>
                <w:b/>
                <w:sz w:val="20"/>
              </w:rPr>
              <w:t>Betriebsort</w:t>
            </w:r>
          </w:p>
        </w:tc>
        <w:tc>
          <w:tcPr>
            <w:tcW w:type="dxa" w:w="4536"/>
          </w:tcPr>
          <w:p>
            <w:r>
              <w:rPr>
                <w:rFonts w:ascii="Times New Roman" w:hAnsi="Times New Roman"/>
                <w:sz w:val="20"/>
              </w:rPr>
              <w:t>Drogerie "Beauté &amp; Co", Immermannstraße 38, 40210 Düsseldorf</w:t>
            </w:r>
          </w:p>
        </w:tc>
      </w:tr>
      <w:tr>
        <w:tc>
          <w:tcPr>
            <w:tcW w:type="dxa" w:w="4536"/>
          </w:tcPr>
          <w:p>
            <w:r>
              <w:rPr>
                <w:rFonts w:ascii="Times New Roman" w:hAnsi="Times New Roman"/>
                <w:b/>
                <w:sz w:val="20"/>
              </w:rPr>
              <w:t>Gesichteter Zeitraum</w:t>
            </w:r>
          </w:p>
        </w:tc>
        <w:tc>
          <w:tcPr>
            <w:tcW w:type="dxa" w:w="4536"/>
          </w:tcPr>
          <w:p>
            <w:r>
              <w:rPr>
                <w:rFonts w:ascii="Times New Roman" w:hAnsi="Times New Roman"/>
                <w:sz w:val="20"/>
              </w:rPr>
              <w:t>17.03.2026, 14:38 Uhr bis 14:53 Uhr</w:t>
            </w:r>
          </w:p>
        </w:tc>
      </w:tr>
    </w:tbl>
    <w:p/>
    <w:p>
      <w:pPr>
        <w:pStyle w:val="Heading3"/>
      </w:pPr>
      <w:r>
        <w:rPr>
          <w:rFonts w:ascii="Times New Roman" w:hAnsi="Times New Roman"/>
        </w:rPr>
        <w:t>Beschreibung der ausgewerteten Kamerasequenzen</w:t>
      </w:r>
    </w:p>
    <w:p>
      <w:pPr>
        <w:jc w:val="left"/>
      </w:pPr>
      <w:r>
        <w:t>Die Videoüberwachungsanlage der Drogerie "Beauté &amp; Co" umfasst 6 Kameras:</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Kamera</w:t>
            </w:r>
          </w:p>
        </w:tc>
        <w:tc>
          <w:tcPr>
            <w:tcW w:type="dxa" w:w="3024"/>
          </w:tcPr>
          <w:p>
            <w:r>
              <w:rPr>
                <w:rFonts w:ascii="Times New Roman" w:hAnsi="Times New Roman"/>
                <w:b/>
                <w:sz w:val="20"/>
              </w:rPr>
              <w:t>Position</w:t>
            </w:r>
          </w:p>
        </w:tc>
        <w:tc>
          <w:tcPr>
            <w:tcW w:type="dxa" w:w="3024"/>
          </w:tcPr>
          <w:p>
            <w:r>
              <w:rPr>
                <w:rFonts w:ascii="Times New Roman" w:hAnsi="Times New Roman"/>
                <w:b/>
                <w:sz w:val="20"/>
              </w:rPr>
              <w:t>Relevanz für Tat</w:t>
            </w:r>
          </w:p>
        </w:tc>
      </w:tr>
      <w:tr>
        <w:tc>
          <w:tcPr>
            <w:tcW w:type="dxa" w:w="3024"/>
          </w:tcPr>
          <w:p>
            <w:r>
              <w:rPr>
                <w:rFonts w:ascii="Times New Roman" w:hAnsi="Times New Roman"/>
                <w:sz w:val="20"/>
              </w:rPr>
              <w:t>K1</w:t>
            </w:r>
          </w:p>
        </w:tc>
        <w:tc>
          <w:tcPr>
            <w:tcW w:type="dxa" w:w="3024"/>
          </w:tcPr>
          <w:p>
            <w:r>
              <w:rPr>
                <w:rFonts w:ascii="Times New Roman" w:hAnsi="Times New Roman"/>
                <w:sz w:val="20"/>
              </w:rPr>
              <w:t>Eingangsbereich</w:t>
            </w:r>
          </w:p>
        </w:tc>
        <w:tc>
          <w:tcPr>
            <w:tcW w:type="dxa" w:w="3024"/>
          </w:tcPr>
          <w:p>
            <w:r>
              <w:rPr>
                <w:rFonts w:ascii="Times New Roman" w:hAnsi="Times New Roman"/>
                <w:sz w:val="20"/>
              </w:rPr>
              <w:t>gering</w:t>
            </w:r>
          </w:p>
        </w:tc>
      </w:tr>
      <w:tr>
        <w:tc>
          <w:tcPr>
            <w:tcW w:type="dxa" w:w="3024"/>
          </w:tcPr>
          <w:p>
            <w:r>
              <w:rPr>
                <w:rFonts w:ascii="Times New Roman" w:hAnsi="Times New Roman"/>
                <w:sz w:val="20"/>
              </w:rPr>
              <w:t>K2</w:t>
            </w:r>
          </w:p>
        </w:tc>
        <w:tc>
          <w:tcPr>
            <w:tcW w:type="dxa" w:w="3024"/>
          </w:tcPr>
          <w:p>
            <w:r>
              <w:rPr>
                <w:rFonts w:ascii="Times New Roman" w:hAnsi="Times New Roman"/>
                <w:sz w:val="20"/>
              </w:rPr>
              <w:t>Regalgang Kosmetik/Pflege (Mitte)</w:t>
            </w:r>
          </w:p>
        </w:tc>
        <w:tc>
          <w:tcPr>
            <w:tcW w:type="dxa" w:w="3024"/>
          </w:tcPr>
          <w:p>
            <w:r>
              <w:rPr>
                <w:rFonts w:ascii="Times New Roman" w:hAnsi="Times New Roman"/>
                <w:b/>
                <w:sz w:val="20"/>
              </w:rPr>
              <w:t>hoch</w:t>
            </w:r>
          </w:p>
        </w:tc>
      </w:tr>
      <w:tr>
        <w:tc>
          <w:tcPr>
            <w:tcW w:type="dxa" w:w="3024"/>
          </w:tcPr>
          <w:p>
            <w:r>
              <w:rPr>
                <w:rFonts w:ascii="Times New Roman" w:hAnsi="Times New Roman"/>
                <w:sz w:val="20"/>
              </w:rPr>
              <w:t>K3</w:t>
            </w:r>
          </w:p>
        </w:tc>
        <w:tc>
          <w:tcPr>
            <w:tcW w:type="dxa" w:w="3024"/>
          </w:tcPr>
          <w:p>
            <w:r>
              <w:rPr>
                <w:rFonts w:ascii="Times New Roman" w:hAnsi="Times New Roman"/>
                <w:sz w:val="20"/>
              </w:rPr>
              <w:t>Regalgang Haarpflege</w:t>
            </w:r>
          </w:p>
        </w:tc>
        <w:tc>
          <w:tcPr>
            <w:tcW w:type="dxa" w:w="3024"/>
          </w:tcPr>
          <w:p>
            <w:r>
              <w:rPr>
                <w:rFonts w:ascii="Times New Roman" w:hAnsi="Times New Roman"/>
                <w:sz w:val="20"/>
              </w:rPr>
              <w:t>keine</w:t>
            </w:r>
          </w:p>
        </w:tc>
      </w:tr>
      <w:tr>
        <w:tc>
          <w:tcPr>
            <w:tcW w:type="dxa" w:w="3024"/>
          </w:tcPr>
          <w:p>
            <w:r>
              <w:rPr>
                <w:rFonts w:ascii="Times New Roman" w:hAnsi="Times New Roman"/>
                <w:sz w:val="20"/>
              </w:rPr>
              <w:t>K4</w:t>
            </w:r>
          </w:p>
        </w:tc>
        <w:tc>
          <w:tcPr>
            <w:tcW w:type="dxa" w:w="3024"/>
          </w:tcPr>
          <w:p>
            <w:r>
              <w:rPr>
                <w:rFonts w:ascii="Times New Roman" w:hAnsi="Times New Roman"/>
                <w:sz w:val="20"/>
              </w:rPr>
              <w:t>Kassenbereich (Übersicht)</w:t>
            </w:r>
          </w:p>
        </w:tc>
        <w:tc>
          <w:tcPr>
            <w:tcW w:type="dxa" w:w="3024"/>
          </w:tcPr>
          <w:p>
            <w:r>
              <w:rPr>
                <w:rFonts w:ascii="Times New Roman" w:hAnsi="Times New Roman"/>
                <w:b/>
                <w:sz w:val="20"/>
              </w:rPr>
              <w:t>mittel</w:t>
            </w:r>
          </w:p>
        </w:tc>
      </w:tr>
      <w:tr>
        <w:tc>
          <w:tcPr>
            <w:tcW w:type="dxa" w:w="3024"/>
          </w:tcPr>
          <w:p>
            <w:r>
              <w:rPr>
                <w:rFonts w:ascii="Times New Roman" w:hAnsi="Times New Roman"/>
                <w:sz w:val="20"/>
              </w:rPr>
              <w:t>K5</w:t>
            </w:r>
          </w:p>
        </w:tc>
        <w:tc>
          <w:tcPr>
            <w:tcW w:type="dxa" w:w="3024"/>
          </w:tcPr>
          <w:p>
            <w:r>
              <w:rPr>
                <w:rFonts w:ascii="Times New Roman" w:hAnsi="Times New Roman"/>
                <w:sz w:val="20"/>
              </w:rPr>
              <w:t>Kassenbereich (Detail)</w:t>
            </w:r>
          </w:p>
        </w:tc>
        <w:tc>
          <w:tcPr>
            <w:tcW w:type="dxa" w:w="3024"/>
          </w:tcPr>
          <w:p>
            <w:r>
              <w:rPr>
                <w:rFonts w:ascii="Times New Roman" w:hAnsi="Times New Roman"/>
                <w:sz w:val="20"/>
              </w:rPr>
              <w:t>mittel</w:t>
            </w:r>
          </w:p>
        </w:tc>
      </w:tr>
      <w:tr>
        <w:tc>
          <w:tcPr>
            <w:tcW w:type="dxa" w:w="3024"/>
          </w:tcPr>
          <w:p>
            <w:r>
              <w:rPr>
                <w:rFonts w:ascii="Times New Roman" w:hAnsi="Times New Roman"/>
                <w:sz w:val="20"/>
              </w:rPr>
              <w:t>K6</w:t>
            </w:r>
          </w:p>
        </w:tc>
        <w:tc>
          <w:tcPr>
            <w:tcW w:type="dxa" w:w="3024"/>
          </w:tcPr>
          <w:p>
            <w:r>
              <w:rPr>
                <w:rFonts w:ascii="Times New Roman" w:hAnsi="Times New Roman"/>
                <w:sz w:val="20"/>
              </w:rPr>
              <w:t>Ausgangsbereich</w:t>
            </w:r>
          </w:p>
        </w:tc>
        <w:tc>
          <w:tcPr>
            <w:tcW w:type="dxa" w:w="3024"/>
          </w:tcPr>
          <w:p>
            <w:r>
              <w:rPr>
                <w:rFonts w:ascii="Times New Roman" w:hAnsi="Times New Roman"/>
                <w:sz w:val="20"/>
              </w:rPr>
              <w:t>gering</w:t>
            </w:r>
          </w:p>
        </w:tc>
      </w:tr>
    </w:tbl>
    <w:p>
      <w:pPr>
        <w:jc w:val="left"/>
      </w:pPr>
      <w:r>
        <w:rPr>
          <w:b/>
        </w:rPr>
        <w:t>Kamera K2 – Regalgang Kosmetik/Pflege (Hauptauswertung):</w:t>
      </w:r>
    </w:p>
    <w:p>
      <w:pPr>
        <w:pStyle w:val="ListBullet"/>
      </w:pPr>
      <w:r>
        <w:t>14:41:03 Uhr: Person weiblich, ca. 30–35 Jahre, mittelgroß, dunkelbrauner Mantel, Schultertasche links, Mobiltelefon in der rechten Hand, betritt den Regalgang Kosmetik von Norden.</w:t>
      </w:r>
    </w:p>
    <w:p>
      <w:pPr>
        <w:pStyle w:val="ListBullet"/>
      </w:pPr>
      <w:r>
        <w:t>14:41:18 Uhr: Person hält bei Regal Körperpflege-Produkte, entnimmt einen Artikel (Lippenstift, rot-schwarze Verpackung), betrachtet ihn, legt ihn in Regal zurück, entnimmt einen weiteren.</w:t>
      </w:r>
    </w:p>
    <w:p>
      <w:pPr>
        <w:pStyle w:val="ListBullet"/>
      </w:pPr>
      <w:r>
        <w:t xml:space="preserve">14:42:47 Uhr: </w:t>
      </w:r>
      <w:r>
        <w:rPr>
          <w:b/>
        </w:rPr>
        <w:t>Verdeckungsphase</w:t>
      </w:r>
      <w:r>
        <w:t xml:space="preserve"> – andere Kundin (unbekannt) tritt ins Bild, Hauptperson kurzfristig nicht vollständig sichtbar, ca. 18 Sekunden.</w:t>
      </w:r>
    </w:p>
    <w:p>
      <w:pPr>
        <w:pStyle w:val="ListBullet"/>
      </w:pPr>
      <w:r>
        <w:t>14:43:05 Uhr: Hauptperson wieder sichtbar, hält Artikel in der rechten Hand, die linke Hand führt eine Bewegung in Richtung der rechten Manteltasche aus. Auflösung am oberen Tastenbereich des Mantels nicht ausreichend für eindeutige Identifikation der Handlungskette.</w:t>
      </w:r>
    </w:p>
    <w:p>
      <w:pPr>
        <w:pStyle w:val="ListBullet"/>
      </w:pPr>
      <w:r>
        <w:t>14:44:12 Uhr: Person bewegt sich weiter Richtung Regalende, hält zwei weitere Artikel in der Hand.</w:t>
      </w:r>
    </w:p>
    <w:p>
      <w:pPr>
        <w:pStyle w:val="ListBullet"/>
      </w:pPr>
      <w:r>
        <w:t>14:45:38 Uhr: Person bewegt sich Richtung Kasse.</w:t>
      </w:r>
    </w:p>
    <w:p>
      <w:pPr>
        <w:ind w:left="567"/>
      </w:pPr>
      <w:r>
        <w:rPr>
          <w:b/>
          <w:i/>
        </w:rPr>
        <w:t>Wertung:</w:t>
      </w:r>
      <w:r>
        <w:rPr>
          <w:i/>
        </w:rPr>
        <w:t xml:space="preserve"> Aufgrund der Kameraauflösung und des Kamerawinkels ist der Moment des Einsteckens in die Manteltasche </w:t>
      </w:r>
      <w:r>
        <w:rPr>
          <w:b/>
          <w:i/>
        </w:rPr>
        <w:t>nicht zweifelsfrei videogestützt nachweisbar</w:t>
      </w:r>
      <w:r>
        <w:rPr>
          <w:i/>
        </w:rPr>
        <w:t xml:space="preserve">. Der Verdeckungszeitraum (18 Sekunden) deckt sich mit der Schilderung des Ladendetektivs Neumann. Der Vorgang selbst erschließt sich aus dem Kontext (Zeugenbeschreibung + anschließende Sicherstellung der Ware in der Manteltasche), ist aber </w:t>
      </w:r>
      <w:r>
        <w:rPr>
          <w:b/>
          <w:i/>
        </w:rPr>
        <w:t>nicht direkt auf dem Video zu sehen</w:t>
      </w:r>
      <w:r>
        <w:rPr>
          <w:i/>
        </w:rPr>
        <w:t>.</w:t>
      </w:r>
    </w:p>
    <w:p>
      <w:pPr>
        <w:jc w:val="left"/>
      </w:pPr>
      <w:r>
        <w:rPr>
          <w:b/>
        </w:rPr>
        <w:t>Kamera K4 – Kassenbereich:</w:t>
      </w:r>
    </w:p>
    <w:p>
      <w:pPr>
        <w:pStyle w:val="ListBullet"/>
      </w:pPr>
      <w:r>
        <w:t>14:45:55 Uhr: Person betritt Kassenbereich, stellt sich in Kassenschlange (1 Person vor ihr).</w:t>
      </w:r>
    </w:p>
    <w:p>
      <w:pPr>
        <w:pStyle w:val="ListBullet"/>
      </w:pPr>
      <w:r>
        <w:t>14:47:02 Uhr: Person legt Waren auf Band: Shampoo (blau-weiße Verpackung), Zahnbürste (gelb). Keine weiteren Artikel auf das Band gelegt.</w:t>
      </w:r>
    </w:p>
    <w:p>
      <w:pPr>
        <w:pStyle w:val="ListBullet"/>
      </w:pPr>
      <w:r>
        <w:t>14:47:45 Uhr: Bezahlung, Kassierung, Abschluss.</w:t>
      </w:r>
    </w:p>
    <w:p>
      <w:pPr>
        <w:pStyle w:val="ListBullet"/>
      </w:pPr>
      <w:r>
        <w:t>14:48:03 Uhr: Person verlässt den Kassenbereich mit Einkaufstüte.</w:t>
      </w:r>
    </w:p>
    <w:p/>
    <w:p>
      <w:pPr>
        <w:pStyle w:val="Heading3"/>
      </w:pPr>
      <w:r>
        <w:rPr>
          <w:rFonts w:ascii="Times New Roman" w:hAnsi="Times New Roman"/>
        </w:rPr>
        <w:t>Beweiswert der Videoaufzeichnung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Aspekt</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Identifizierbarkeit der Person</w:t>
            </w:r>
          </w:p>
        </w:tc>
        <w:tc>
          <w:tcPr>
            <w:tcW w:type="dxa" w:w="4536"/>
          </w:tcPr>
          <w:p>
            <w:r>
              <w:rPr>
                <w:rFonts w:ascii="Times New Roman" w:hAnsi="Times New Roman"/>
                <w:sz w:val="20"/>
              </w:rPr>
              <w:t>mittel (kein Gesicht eindeutig erkennbar; Beschreibung passend, Kleidung übereinstimmend)</w:t>
            </w:r>
          </w:p>
        </w:tc>
      </w:tr>
      <w:tr>
        <w:tc>
          <w:tcPr>
            <w:tcW w:type="dxa" w:w="4536"/>
          </w:tcPr>
          <w:p>
            <w:r>
              <w:rPr>
                <w:rFonts w:ascii="Times New Roman" w:hAnsi="Times New Roman"/>
                <w:sz w:val="20"/>
              </w:rPr>
              <w:t>Dokumentation des Einsteckens</w:t>
            </w:r>
          </w:p>
        </w:tc>
        <w:tc>
          <w:tcPr>
            <w:tcW w:type="dxa" w:w="4536"/>
          </w:tcPr>
          <w:p>
            <w:r>
              <w:rPr>
                <w:rFonts w:ascii="Times New Roman" w:hAnsi="Times New Roman"/>
                <w:b/>
                <w:sz w:val="20"/>
              </w:rPr>
              <w:t>nicht eindeutig</w:t>
            </w:r>
            <w:r>
              <w:rPr>
                <w:rFonts w:ascii="Times New Roman" w:hAnsi="Times New Roman"/>
                <w:sz w:val="20"/>
              </w:rPr>
              <w:t xml:space="preserve"> (18-Sek.-Lücke, Auflösung unzureichend)</w:t>
            </w:r>
          </w:p>
        </w:tc>
      </w:tr>
      <w:tr>
        <w:tc>
          <w:tcPr>
            <w:tcW w:type="dxa" w:w="4536"/>
          </w:tcPr>
          <w:p>
            <w:r>
              <w:rPr>
                <w:rFonts w:ascii="Times New Roman" w:hAnsi="Times New Roman"/>
                <w:sz w:val="20"/>
              </w:rPr>
              <w:t>Kassenpassage ohne Einstecken der Tatware</w:t>
            </w:r>
          </w:p>
        </w:tc>
        <w:tc>
          <w:tcPr>
            <w:tcW w:type="dxa" w:w="4536"/>
          </w:tcPr>
          <w:p>
            <w:r>
              <w:rPr>
                <w:rFonts w:ascii="Times New Roman" w:hAnsi="Times New Roman"/>
                <w:sz w:val="20"/>
              </w:rPr>
              <w:t>eindeutig erkennbar</w:t>
            </w:r>
          </w:p>
        </w:tc>
      </w:tr>
      <w:tr>
        <w:tc>
          <w:tcPr>
            <w:tcW w:type="dxa" w:w="4536"/>
          </w:tcPr>
          <w:p>
            <w:r>
              <w:rPr>
                <w:rFonts w:ascii="Times New Roman" w:hAnsi="Times New Roman"/>
                <w:sz w:val="20"/>
              </w:rPr>
              <w:t>Forensischer Wert als Hauptbeweis</w:t>
            </w:r>
          </w:p>
        </w:tc>
        <w:tc>
          <w:tcPr>
            <w:tcW w:type="dxa" w:w="4536"/>
          </w:tcPr>
          <w:p>
            <w:r>
              <w:rPr>
                <w:rFonts w:ascii="Times New Roman" w:hAnsi="Times New Roman"/>
                <w:b/>
                <w:sz w:val="20"/>
              </w:rPr>
              <w:t>gering bis mittel</w:t>
            </w:r>
            <w:r>
              <w:rPr>
                <w:rFonts w:ascii="Times New Roman" w:hAnsi="Times New Roman"/>
                <w:sz w:val="20"/>
              </w:rPr>
              <w:t xml:space="preserve"> (kein Rückschluss auf Vorsatz möglich)</w:t>
            </w:r>
          </w:p>
        </w:tc>
      </w:tr>
    </w:tbl>
    <w:p/>
    <w:p>
      <w:pPr>
        <w:pStyle w:val="Heading3"/>
      </w:pPr>
      <w:r>
        <w:rPr>
          <w:rFonts w:ascii="Times New Roman" w:hAnsi="Times New Roman"/>
        </w:rPr>
        <w:t>Nachforderungsprotokoll Videomaterial</w:t>
      </w:r>
    </w:p>
    <w:p>
      <w:pPr>
        <w:jc w:val="left"/>
      </w:pPr>
      <w:r>
        <w:t xml:space="preserve">Die Originalvideodatei (Komprimierungsformat: H.264, Auflösung 2560×1440 px native) wurde </w:t>
      </w:r>
      <w:r>
        <w:rPr>
          <w:b/>
        </w:rPr>
        <w:t>nicht</w:t>
      </w:r>
      <w:r>
        <w:t xml:space="preserve"> der Akte beigefügt. Nur Standbilder (Lichtbilder LB-0347-03 bis LB-0347-07) wurden übermittelt.</w:t>
      </w:r>
    </w:p>
    <w:p>
      <w:pPr>
        <w:ind w:left="567"/>
      </w:pPr>
      <w:r>
        <w:rPr>
          <w:b/>
          <w:i/>
        </w:rPr>
        <w:t>Antrag Verteidigung (einzuleiten):</w:t>
      </w:r>
      <w:r>
        <w:rPr>
          <w:i/>
        </w:rPr>
        <w:t xml:space="preserve"> Herausgabe der Originalvideodatei oder Einsichtnahme der ungeschnittenen Videosequenz (K2, 14:38–14:53 Uhr; K4, 14:45–14:49 Uhr) vor Ort beim KK 32 oder per USB-Übermittlung – vgl. Akteneinsichtsantrag Bl. 50.</w:t>
      </w:r>
    </w:p>
    <w:p/>
    <w:p>
      <w:pPr>
        <w:pStyle w:val="Heading2"/>
      </w:pPr>
      <w:r>
        <w:rPr>
          <w:rFonts w:ascii="Times New Roman" w:hAnsi="Times New Roman"/>
        </w:rPr>
        <w:t>Teil 2 – Kassenbon-Auswertung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Bon-Datum</w:t>
            </w:r>
          </w:p>
        </w:tc>
        <w:tc>
          <w:tcPr>
            <w:tcW w:type="dxa" w:w="4536"/>
          </w:tcPr>
          <w:p>
            <w:r>
              <w:rPr>
                <w:rFonts w:ascii="Times New Roman" w:hAnsi="Times New Roman"/>
                <w:sz w:val="20"/>
              </w:rPr>
              <w:t>17.03.2026, 14:48 Uhr</w:t>
            </w:r>
          </w:p>
        </w:tc>
      </w:tr>
      <w:tr>
        <w:tc>
          <w:tcPr>
            <w:tcW w:type="dxa" w:w="4536"/>
          </w:tcPr>
          <w:p>
            <w:r>
              <w:rPr>
                <w:rFonts w:ascii="Times New Roman" w:hAnsi="Times New Roman"/>
                <w:b/>
                <w:sz w:val="20"/>
              </w:rPr>
              <w:t>Kassen-ID</w:t>
            </w:r>
          </w:p>
        </w:tc>
        <w:tc>
          <w:tcPr>
            <w:tcW w:type="dxa" w:w="4536"/>
          </w:tcPr>
          <w:p>
            <w:r>
              <w:rPr>
                <w:rFonts w:ascii="Times New Roman" w:hAnsi="Times New Roman"/>
                <w:sz w:val="20"/>
              </w:rPr>
              <w:t>Kasse Nr. 3, Filiale 0714, Düsseldorf Immermannstraße</w:t>
            </w:r>
          </w:p>
        </w:tc>
      </w:tr>
      <w:tr>
        <w:tc>
          <w:tcPr>
            <w:tcW w:type="dxa" w:w="4536"/>
          </w:tcPr>
          <w:p>
            <w:r>
              <w:rPr>
                <w:rFonts w:ascii="Times New Roman" w:hAnsi="Times New Roman"/>
                <w:b/>
                <w:sz w:val="20"/>
              </w:rPr>
              <w:t>Bon-Nr.</w:t>
            </w:r>
          </w:p>
        </w:tc>
        <w:tc>
          <w:tcPr>
            <w:tcW w:type="dxa" w:w="4536"/>
          </w:tcPr>
          <w:p>
            <w:r>
              <w:rPr>
                <w:rFonts w:ascii="Times New Roman" w:hAnsi="Times New Roman"/>
                <w:sz w:val="20"/>
              </w:rPr>
              <w:t>201-0347-1448</w:t>
            </w:r>
          </w:p>
        </w:tc>
      </w:tr>
      <w:tr>
        <w:tc>
          <w:tcPr>
            <w:tcW w:type="dxa" w:w="4536"/>
          </w:tcPr>
          <w:p>
            <w:r>
              <w:rPr>
                <w:rFonts w:ascii="Times New Roman" w:hAnsi="Times New Roman"/>
                <w:b/>
                <w:sz w:val="20"/>
              </w:rPr>
              <w:t>Kassiererin</w:t>
            </w:r>
          </w:p>
        </w:tc>
        <w:tc>
          <w:tcPr>
            <w:tcW w:type="dxa" w:w="4536"/>
          </w:tcPr>
          <w:p>
            <w:r>
              <w:rPr>
                <w:rFonts w:ascii="Times New Roman" w:hAnsi="Times New Roman"/>
                <w:sz w:val="20"/>
              </w:rPr>
              <w:t>Mitarbeiterin "Hanna" (Vollname aus Datenschutzgründen geschwärzt)</w:t>
            </w:r>
          </w:p>
        </w:tc>
      </w:tr>
    </w:tbl>
    <w:p>
      <w:pPr>
        <w:pStyle w:val="Heading3"/>
      </w:pPr>
      <w:r>
        <w:rPr>
          <w:rFonts w:ascii="Times New Roman" w:hAnsi="Times New Roman"/>
        </w:rPr>
        <w:t>Gebuchte Artikel (bezahlte Ware)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w:t>
            </w:r>
          </w:p>
        </w:tc>
        <w:tc>
          <w:tcPr>
            <w:tcW w:type="dxa" w:w="2268"/>
          </w:tcPr>
          <w:p>
            <w:r>
              <w:rPr>
                <w:rFonts w:ascii="Times New Roman" w:hAnsi="Times New Roman"/>
                <w:b/>
                <w:sz w:val="20"/>
              </w:rPr>
              <w:t>Artikel</w:t>
            </w:r>
          </w:p>
        </w:tc>
        <w:tc>
          <w:tcPr>
            <w:tcW w:type="dxa" w:w="2268"/>
          </w:tcPr>
          <w:p>
            <w:r>
              <w:rPr>
                <w:rFonts w:ascii="Times New Roman" w:hAnsi="Times New Roman"/>
                <w:b/>
                <w:sz w:val="20"/>
              </w:rPr>
              <w:t>EAN</w:t>
            </w:r>
          </w:p>
        </w:tc>
        <w:tc>
          <w:tcPr>
            <w:tcW w:type="dxa" w:w="2268"/>
          </w:tcPr>
          <w:p>
            <w:r>
              <w:rPr>
                <w:rFonts w:ascii="Times New Roman" w:hAnsi="Times New Roman"/>
                <w:b/>
                <w:sz w:val="20"/>
              </w:rPr>
              <w:t>Preis</w:t>
            </w:r>
          </w:p>
        </w:tc>
      </w:tr>
      <w:tr>
        <w:tc>
          <w:tcPr>
            <w:tcW w:type="dxa" w:w="2268"/>
          </w:tcPr>
          <w:p>
            <w:r>
              <w:rPr>
                <w:rFonts w:ascii="Times New Roman" w:hAnsi="Times New Roman"/>
                <w:sz w:val="20"/>
              </w:rPr>
              <w:t>1</w:t>
            </w:r>
          </w:p>
        </w:tc>
        <w:tc>
          <w:tcPr>
            <w:tcW w:type="dxa" w:w="2268"/>
          </w:tcPr>
          <w:p>
            <w:r>
              <w:rPr>
                <w:rFonts w:ascii="Times New Roman" w:hAnsi="Times New Roman"/>
                <w:sz w:val="20"/>
              </w:rPr>
              <w:t>Pantene Pro-V Reparatur-Shampoo 250 ml</w:t>
            </w:r>
          </w:p>
        </w:tc>
        <w:tc>
          <w:tcPr>
            <w:tcW w:type="dxa" w:w="2268"/>
          </w:tcPr>
          <w:p>
            <w:r>
              <w:rPr>
                <w:rFonts w:ascii="Times New Roman" w:hAnsi="Times New Roman"/>
                <w:sz w:val="20"/>
              </w:rPr>
              <w:t>4084500965430</w:t>
            </w:r>
          </w:p>
        </w:tc>
        <w:tc>
          <w:tcPr>
            <w:tcW w:type="dxa" w:w="2268"/>
          </w:tcPr>
          <w:p>
            <w:r>
              <w:rPr>
                <w:rFonts w:ascii="Times New Roman" w:hAnsi="Times New Roman"/>
                <w:sz w:val="20"/>
              </w:rPr>
              <w:t>4,99 EUR</w:t>
            </w:r>
          </w:p>
        </w:tc>
      </w:tr>
      <w:tr>
        <w:tc>
          <w:tcPr>
            <w:tcW w:type="dxa" w:w="2268"/>
          </w:tcPr>
          <w:p>
            <w:r>
              <w:rPr>
                <w:rFonts w:ascii="Times New Roman" w:hAnsi="Times New Roman"/>
                <w:sz w:val="20"/>
              </w:rPr>
              <w:t>2</w:t>
            </w:r>
          </w:p>
        </w:tc>
        <w:tc>
          <w:tcPr>
            <w:tcW w:type="dxa" w:w="2268"/>
          </w:tcPr>
          <w:p>
            <w:r>
              <w:rPr>
                <w:rFonts w:ascii="Times New Roman" w:hAnsi="Times New Roman"/>
                <w:sz w:val="20"/>
              </w:rPr>
              <w:t>Oral-B Pro 1 Zahnbürste Sensitive</w:t>
            </w:r>
          </w:p>
        </w:tc>
        <w:tc>
          <w:tcPr>
            <w:tcW w:type="dxa" w:w="2268"/>
          </w:tcPr>
          <w:p>
            <w:r>
              <w:rPr>
                <w:rFonts w:ascii="Times New Roman" w:hAnsi="Times New Roman"/>
                <w:sz w:val="20"/>
              </w:rPr>
              <w:t>3014260073466</w:t>
            </w:r>
          </w:p>
        </w:tc>
        <w:tc>
          <w:tcPr>
            <w:tcW w:type="dxa" w:w="2268"/>
          </w:tcPr>
          <w:p>
            <w:r>
              <w:rPr>
                <w:rFonts w:ascii="Times New Roman" w:hAnsi="Times New Roman"/>
                <w:sz w:val="20"/>
              </w:rPr>
              <w:t>5,49 EUR</w:t>
            </w:r>
          </w:p>
        </w:tc>
      </w:tr>
      <w:tr>
        <w:tc>
          <w:tcPr>
            <w:tcW w:type="dxa" w:w="2268"/>
          </w:tcPr>
          <w:p>
            <w:r>
              <w:rPr>
                <w:rFonts w:ascii="Times New Roman" w:hAnsi="Times New Roman"/>
                <w:sz w:val="20"/>
              </w:rPr>
              <w:t>3</w:t>
            </w:r>
          </w:p>
        </w:tc>
        <w:tc>
          <w:tcPr>
            <w:tcW w:type="dxa" w:w="2268"/>
          </w:tcPr>
          <w:p>
            <w:r>
              <w:rPr>
                <w:rFonts w:ascii="Times New Roman" w:hAnsi="Times New Roman"/>
                <w:sz w:val="20"/>
              </w:rPr>
              <w:t>Bounce Economy Dryer Sheets</w:t>
            </w:r>
          </w:p>
        </w:tc>
        <w:tc>
          <w:tcPr>
            <w:tcW w:type="dxa" w:w="2268"/>
          </w:tcPr>
          <w:p>
            <w:r>
              <w:rPr>
                <w:rFonts w:ascii="Times New Roman" w:hAnsi="Times New Roman"/>
                <w:sz w:val="20"/>
              </w:rPr>
              <w:t>4015400897118</w:t>
            </w:r>
          </w:p>
        </w:tc>
        <w:tc>
          <w:tcPr>
            <w:tcW w:type="dxa" w:w="2268"/>
          </w:tcPr>
          <w:p>
            <w:r>
              <w:rPr>
                <w:rFonts w:ascii="Times New Roman" w:hAnsi="Times New Roman"/>
                <w:sz w:val="20"/>
              </w:rPr>
              <w:t>2,42 EUR</w:t>
            </w:r>
          </w:p>
        </w:tc>
      </w:tr>
      <w:tr>
        <w:tc>
          <w:tcPr>
            <w:tcW w:type="dxa" w:w="2268"/>
          </w:tcPr>
          <w:p/>
        </w:tc>
        <w:tc>
          <w:tcPr>
            <w:tcW w:type="dxa" w:w="2268"/>
          </w:tcPr>
          <w:p>
            <w:r>
              <w:rPr>
                <w:rFonts w:ascii="Times New Roman" w:hAnsi="Times New Roman"/>
                <w:b/>
                <w:sz w:val="20"/>
              </w:rPr>
              <w:t>Gesamt</w:t>
            </w:r>
          </w:p>
        </w:tc>
        <w:tc>
          <w:tcPr>
            <w:tcW w:type="dxa" w:w="2268"/>
          </w:tcPr>
          <w:p/>
        </w:tc>
        <w:tc>
          <w:tcPr>
            <w:tcW w:type="dxa" w:w="2268"/>
          </w:tcPr>
          <w:p>
            <w:r>
              <w:rPr>
                <w:rFonts w:ascii="Times New Roman" w:hAnsi="Times New Roman"/>
                <w:b/>
                <w:sz w:val="20"/>
              </w:rPr>
              <w:t>12,90 EUR</w:t>
            </w:r>
          </w:p>
        </w:tc>
      </w:tr>
      <w:tr>
        <w:tc>
          <w:tcPr>
            <w:tcW w:type="dxa" w:w="2268"/>
          </w:tcPr>
          <w:p/>
        </w:tc>
        <w:tc>
          <w:tcPr>
            <w:tcW w:type="dxa" w:w="2268"/>
          </w:tcPr>
          <w:p>
            <w:r>
              <w:rPr>
                <w:rFonts w:ascii="Times New Roman" w:hAnsi="Times New Roman"/>
                <w:sz w:val="20"/>
              </w:rPr>
              <w:t>Bezahlung EC-Karte</w:t>
            </w:r>
          </w:p>
        </w:tc>
        <w:tc>
          <w:tcPr>
            <w:tcW w:type="dxa" w:w="2268"/>
          </w:tcPr>
          <w:p/>
        </w:tc>
        <w:tc>
          <w:tcPr>
            <w:tcW w:type="dxa" w:w="2268"/>
          </w:tcPr>
          <w:p>
            <w:r>
              <w:rPr>
                <w:rFonts w:ascii="Times New Roman" w:hAnsi="Times New Roman"/>
                <w:sz w:val="20"/>
              </w:rPr>
              <w:t>-12,90 EUR</w:t>
            </w:r>
          </w:p>
        </w:tc>
      </w:tr>
      <w:tr>
        <w:tc>
          <w:tcPr>
            <w:tcW w:type="dxa" w:w="2268"/>
          </w:tcPr>
          <w:p/>
        </w:tc>
        <w:tc>
          <w:tcPr>
            <w:tcW w:type="dxa" w:w="2268"/>
          </w:tcPr>
          <w:p>
            <w:r>
              <w:rPr>
                <w:rFonts w:ascii="Times New Roman" w:hAnsi="Times New Roman"/>
                <w:b/>
                <w:sz w:val="20"/>
              </w:rPr>
              <w:t>Rückgeld</w:t>
            </w:r>
          </w:p>
        </w:tc>
        <w:tc>
          <w:tcPr>
            <w:tcW w:type="dxa" w:w="2268"/>
          </w:tcPr>
          <w:p/>
        </w:tc>
        <w:tc>
          <w:tcPr>
            <w:tcW w:type="dxa" w:w="2268"/>
          </w:tcPr>
          <w:p>
            <w:r>
              <w:rPr>
                <w:rFonts w:ascii="Times New Roman" w:hAnsi="Times New Roman"/>
                <w:b/>
                <w:sz w:val="20"/>
              </w:rPr>
              <w:t>0,00 EUR</w:t>
            </w:r>
          </w:p>
        </w:tc>
      </w:tr>
    </w:tbl>
    <w:p>
      <w:pPr>
        <w:pStyle w:val="Heading3"/>
      </w:pPr>
      <w:r>
        <w:rPr>
          <w:rFonts w:ascii="Times New Roman" w:hAnsi="Times New Roman"/>
        </w:rPr>
        <w:t>Nicht gebuchte (entwendete) Artikel</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w:t>
            </w:r>
          </w:p>
        </w:tc>
        <w:tc>
          <w:tcPr>
            <w:tcW w:type="dxa" w:w="2268"/>
          </w:tcPr>
          <w:p>
            <w:r>
              <w:rPr>
                <w:rFonts w:ascii="Times New Roman" w:hAnsi="Times New Roman"/>
                <w:b/>
                <w:sz w:val="20"/>
              </w:rPr>
              <w:t>Artikel</w:t>
            </w:r>
          </w:p>
        </w:tc>
        <w:tc>
          <w:tcPr>
            <w:tcW w:type="dxa" w:w="2268"/>
          </w:tcPr>
          <w:p>
            <w:r>
              <w:rPr>
                <w:rFonts w:ascii="Times New Roman" w:hAnsi="Times New Roman"/>
                <w:b/>
                <w:sz w:val="20"/>
              </w:rPr>
              <w:t>EAN</w:t>
            </w:r>
          </w:p>
        </w:tc>
        <w:tc>
          <w:tcPr>
            <w:tcW w:type="dxa" w:w="2268"/>
          </w:tcPr>
          <w:p>
            <w:r>
              <w:rPr>
                <w:rFonts w:ascii="Times New Roman" w:hAnsi="Times New Roman"/>
                <w:b/>
                <w:sz w:val="20"/>
              </w:rPr>
              <w:t>Listenpreis</w:t>
            </w:r>
          </w:p>
        </w:tc>
      </w:tr>
      <w:tr>
        <w:tc>
          <w:tcPr>
            <w:tcW w:type="dxa" w:w="2268"/>
          </w:tcPr>
          <w:p>
            <w:r>
              <w:rPr>
                <w:rFonts w:ascii="Times New Roman" w:hAnsi="Times New Roman"/>
                <w:sz w:val="20"/>
              </w:rPr>
              <w:t>1</w:t>
            </w:r>
          </w:p>
        </w:tc>
        <w:tc>
          <w:tcPr>
            <w:tcW w:type="dxa" w:w="2268"/>
          </w:tcPr>
          <w:p>
            <w:r>
              <w:rPr>
                <w:rFonts w:ascii="Times New Roman" w:hAnsi="Times New Roman"/>
                <w:sz w:val="20"/>
              </w:rPr>
              <w:t>Revlon ColorStay Lippenstift Nr. 210 "Nude"</w:t>
            </w:r>
          </w:p>
        </w:tc>
        <w:tc>
          <w:tcPr>
            <w:tcW w:type="dxa" w:w="2268"/>
          </w:tcPr>
          <w:p>
            <w:r>
              <w:rPr>
                <w:rFonts w:ascii="Times New Roman" w:hAnsi="Times New Roman"/>
                <w:sz w:val="20"/>
              </w:rPr>
              <w:t>3052819919055</w:t>
            </w:r>
          </w:p>
        </w:tc>
        <w:tc>
          <w:tcPr>
            <w:tcW w:type="dxa" w:w="2268"/>
          </w:tcPr>
          <w:p>
            <w:r>
              <w:rPr>
                <w:rFonts w:ascii="Times New Roman" w:hAnsi="Times New Roman"/>
                <w:sz w:val="20"/>
              </w:rPr>
              <w:t>9,99 EUR</w:t>
            </w:r>
          </w:p>
        </w:tc>
      </w:tr>
      <w:tr>
        <w:tc>
          <w:tcPr>
            <w:tcW w:type="dxa" w:w="2268"/>
          </w:tcPr>
          <w:p>
            <w:r>
              <w:rPr>
                <w:rFonts w:ascii="Times New Roman" w:hAnsi="Times New Roman"/>
                <w:sz w:val="20"/>
              </w:rPr>
              <w:t>2</w:t>
            </w:r>
          </w:p>
        </w:tc>
        <w:tc>
          <w:tcPr>
            <w:tcW w:type="dxa" w:w="2268"/>
          </w:tcPr>
          <w:p>
            <w:r>
              <w:rPr>
                <w:rFonts w:ascii="Times New Roman" w:hAnsi="Times New Roman"/>
                <w:sz w:val="20"/>
              </w:rPr>
              <w:t>Artdeco Perfect Teint Foundation Nr. 12</w:t>
            </w:r>
          </w:p>
        </w:tc>
        <w:tc>
          <w:tcPr>
            <w:tcW w:type="dxa" w:w="2268"/>
          </w:tcPr>
          <w:p>
            <w:r>
              <w:rPr>
                <w:rFonts w:ascii="Times New Roman" w:hAnsi="Times New Roman"/>
                <w:sz w:val="20"/>
              </w:rPr>
              <w:t>4052136027891</w:t>
            </w:r>
          </w:p>
        </w:tc>
        <w:tc>
          <w:tcPr>
            <w:tcW w:type="dxa" w:w="2268"/>
          </w:tcPr>
          <w:p>
            <w:r>
              <w:rPr>
                <w:rFonts w:ascii="Times New Roman" w:hAnsi="Times New Roman"/>
                <w:sz w:val="20"/>
              </w:rPr>
              <w:t>14,33 EUR</w:t>
            </w:r>
          </w:p>
        </w:tc>
      </w:tr>
      <w:tr>
        <w:tc>
          <w:tcPr>
            <w:tcW w:type="dxa" w:w="2268"/>
          </w:tcPr>
          <w:p>
            <w:r>
              <w:rPr>
                <w:rFonts w:ascii="Times New Roman" w:hAnsi="Times New Roman"/>
                <w:sz w:val="20"/>
              </w:rPr>
              <w:t>3</w:t>
            </w:r>
          </w:p>
        </w:tc>
        <w:tc>
          <w:tcPr>
            <w:tcW w:type="dxa" w:w="2268"/>
          </w:tcPr>
          <w:p>
            <w:r>
              <w:rPr>
                <w:rFonts w:ascii="Times New Roman" w:hAnsi="Times New Roman"/>
                <w:sz w:val="20"/>
              </w:rPr>
              <w:t>KIKO Milano Eyeshadow Palette Nr. 03</w:t>
            </w:r>
          </w:p>
        </w:tc>
        <w:tc>
          <w:tcPr>
            <w:tcW w:type="dxa" w:w="2268"/>
          </w:tcPr>
          <w:p>
            <w:r>
              <w:rPr>
                <w:rFonts w:ascii="Times New Roman" w:hAnsi="Times New Roman"/>
                <w:sz w:val="20"/>
              </w:rPr>
              <w:t>8025272911290</w:t>
            </w:r>
          </w:p>
        </w:tc>
        <w:tc>
          <w:tcPr>
            <w:tcW w:type="dxa" w:w="2268"/>
          </w:tcPr>
          <w:p>
            <w:r>
              <w:rPr>
                <w:rFonts w:ascii="Times New Roman" w:hAnsi="Times New Roman"/>
                <w:sz w:val="20"/>
              </w:rPr>
              <w:t>18,99 EUR</w:t>
            </w:r>
          </w:p>
        </w:tc>
      </w:tr>
      <w:tr>
        <w:tc>
          <w:tcPr>
            <w:tcW w:type="dxa" w:w="2268"/>
          </w:tcPr>
          <w:p>
            <w:r>
              <w:rPr>
                <w:rFonts w:ascii="Times New Roman" w:hAnsi="Times New Roman"/>
                <w:sz w:val="20"/>
              </w:rPr>
              <w:t>4</w:t>
            </w:r>
          </w:p>
        </w:tc>
        <w:tc>
          <w:tcPr>
            <w:tcW w:type="dxa" w:w="2268"/>
          </w:tcPr>
          <w:p>
            <w:r>
              <w:rPr>
                <w:rFonts w:ascii="Times New Roman" w:hAnsi="Times New Roman"/>
                <w:sz w:val="20"/>
              </w:rPr>
              <w:t>Nivea Body Lotion "Repair &amp; Care" 250 ml</w:t>
            </w:r>
          </w:p>
        </w:tc>
        <w:tc>
          <w:tcPr>
            <w:tcW w:type="dxa" w:w="2268"/>
          </w:tcPr>
          <w:p>
            <w:r>
              <w:rPr>
                <w:rFonts w:ascii="Times New Roman" w:hAnsi="Times New Roman"/>
                <w:sz w:val="20"/>
              </w:rPr>
              <w:t>4005900022707</w:t>
            </w:r>
          </w:p>
        </w:tc>
        <w:tc>
          <w:tcPr>
            <w:tcW w:type="dxa" w:w="2268"/>
          </w:tcPr>
          <w:p>
            <w:r>
              <w:rPr>
                <w:rFonts w:ascii="Times New Roman" w:hAnsi="Times New Roman"/>
                <w:sz w:val="20"/>
              </w:rPr>
              <w:t>4,49 EUR</w:t>
            </w:r>
          </w:p>
        </w:tc>
      </w:tr>
      <w:tr>
        <w:tc>
          <w:tcPr>
            <w:tcW w:type="dxa" w:w="2268"/>
          </w:tcPr>
          <w:p/>
        </w:tc>
        <w:tc>
          <w:tcPr>
            <w:tcW w:type="dxa" w:w="2268"/>
          </w:tcPr>
          <w:p>
            <w:r>
              <w:rPr>
                <w:rFonts w:ascii="Times New Roman" w:hAnsi="Times New Roman"/>
                <w:b/>
                <w:sz w:val="20"/>
              </w:rPr>
              <w:t>Gesamtwert Tatware</w:t>
            </w:r>
          </w:p>
        </w:tc>
        <w:tc>
          <w:tcPr>
            <w:tcW w:type="dxa" w:w="2268"/>
          </w:tcPr>
          <w:p/>
        </w:tc>
        <w:tc>
          <w:tcPr>
            <w:tcW w:type="dxa" w:w="2268"/>
          </w:tcPr>
          <w:p>
            <w:r>
              <w:rPr>
                <w:rFonts w:ascii="Times New Roman" w:hAnsi="Times New Roman"/>
                <w:b/>
                <w:sz w:val="20"/>
              </w:rPr>
              <w:t>47,80 EUR</w:t>
            </w:r>
          </w:p>
        </w:tc>
      </w:tr>
    </w:tbl>
    <w:p/>
    <w:p>
      <w:pPr>
        <w:pStyle w:val="Heading3"/>
      </w:pPr>
      <w:r>
        <w:rPr>
          <w:rFonts w:ascii="Times New Roman" w:hAnsi="Times New Roman"/>
        </w:rPr>
        <w:t>Rechtliche Wertung des Kassenbons</w:t>
      </w:r>
    </w:p>
    <w:p>
      <w:pPr>
        <w:jc w:val="left"/>
      </w:pPr>
      <w:r>
        <w:t xml:space="preserve">Der Kassenbon belegt, dass die Mandantin </w:t>
      </w:r>
      <w:r>
        <w:rPr>
          <w:b/>
        </w:rPr>
        <w:t>tatsächlich einen Einkauf tätigte</w:t>
      </w:r>
      <w:r>
        <w:t xml:space="preserve"> und die Kasse passierte. Das ist für die Verteidigung in doppelter Hinsicht relevant:</w:t>
      </w:r>
    </w:p>
    <w:p>
      <w:pPr>
        <w:pStyle w:val="ListNumber"/>
      </w:pPr>
      <w:r>
        <w:rPr>
          <w:b/>
        </w:rPr>
        <w:t>Kein gezieltes Betreten ohne Kaufabsicht</w:t>
      </w:r>
      <w:r>
        <w:t xml:space="preserve"> – die Mandantin kaufte erkennbar ein.</w:t>
      </w:r>
    </w:p>
    <w:p>
      <w:pPr>
        <w:pStyle w:val="ListNumber"/>
      </w:pPr>
      <w:r>
        <w:rPr>
          <w:b/>
        </w:rPr>
        <w:t>Mögliche Erklärung für Ablenkung/Vergessen</w:t>
      </w:r>
      <w:r>
        <w:t xml:space="preserve"> – Die kurze Kaufliste und der niedrige Betrag können darauf hindeuten, dass der Einkauf im Vorbeilaufen erfolgte (Stützung der Schutzvorbringung: unbeabsichtigtes Einstecken in Ablenkungssituation).</w:t>
      </w:r>
    </w:p>
    <w:p/>
    <w:p>
      <w:pPr>
        <w:jc w:val="left"/>
      </w:pPr>
      <w:r>
        <w:rPr>
          <w:i/>
        </w:rPr>
        <w:t>Vermerk erstellt: PHK'in Monika König, KK 32, 18.03.2026</w:t>
      </w:r>
    </w:p>
    <w:p>
      <w:pPr>
        <w:jc w:val="left"/>
      </w:pPr>
      <w:r>
        <w:rPr>
          <w:i/>
        </w:rPr>
        <w:t>Kanzlei-intern: Geprüft RAin Mertens, 22.05.2026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