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BZR-Auszug, Fahreignungsprüfung und strafrechtliche Nebenfolgen</w:t>
      </w:r>
    </w:p>
    <w:p>
      <w:pPr>
        <w:ind w:left="567"/>
      </w:pPr>
      <w:r>
        <w:rPr>
          <w:b/>
          <w:i/>
        </w:rPr>
        <w:t>Kanzlei Mertens &amp; Partner, Rechtsanwälte</w:t>
      </w:r>
    </w:p>
    <w:p>
      <w:pPr>
        <w:ind w:left="567"/>
      </w:pPr>
      <w:r>
        <w:rPr>
          <w:i/>
        </w:rPr>
        <w:t>Prüfvermerk – Bundeszentralregister, Fahrerlaubnisregister, berufliche Nebenfolgen</w:t>
      </w:r>
    </w:p>
    <w:p>
      <w:pPr>
        <w:ind w:left="567"/>
      </w:pPr>
      <w:r>
        <w:rPr>
          <w:i/>
        </w:rPr>
        <w:t>Az.: 126 Cs 402 Js 1182/26 / M&amp;P/2026/STR-0047</w:t>
      </w:r>
    </w:p>
    <w:p>
      <w:pPr>
        <w:ind w:left="567"/>
      </w:pPr>
      <w:r>
        <w:rPr>
          <w:i/>
        </w:rPr>
        <w:t>Verfasser: RAin Petra Mertens</w:t>
      </w:r>
    </w:p>
    <w:p>
      <w:pPr>
        <w:ind w:left="567"/>
      </w:pPr>
      <w:r>
        <w:rPr>
          <w:i/>
        </w:rPr>
        <w:t>Datum: 24. Mai 2026</w:t>
      </w:r>
    </w:p>
    <w:p/>
    <w:p>
      <w:pPr>
        <w:pStyle w:val="Heading2"/>
      </w:pPr>
      <w:r>
        <w:rPr>
          <w:rFonts w:ascii="Times New Roman" w:hAnsi="Times New Roman"/>
        </w:rPr>
        <w:t>Teil 1 – Bundeszentralregister (BZR)</w:t>
      </w:r>
    </w:p>
    <w:p>
      <w:pPr>
        <w:pStyle w:val="Heading3"/>
      </w:pPr>
      <w:r>
        <w:rPr>
          <w:rFonts w:ascii="Times New Roman" w:hAnsi="Times New Roman"/>
        </w:rPr>
        <w:t>Auszug BZR (Behördenauskunft, Bl. 35–36 d. A.)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Auskunft vom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23. April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Auskunftsstelle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Bundeszentralregister, Bundesamt für Justiz, Bonn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Betreffende Person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Samira Albrecht, geb. 14.03.1991, Duisburg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Eintragungen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Keine</w:t>
            </w:r>
          </w:p>
        </w:tc>
      </w:tr>
    </w:tbl>
    <w:p>
      <w:pPr>
        <w:jc w:val="left"/>
      </w:pPr>
      <w:r>
        <w:t xml:space="preserve">Die Beschuldigte ist nach Aktenlage </w:t>
      </w:r>
      <w:r>
        <w:rPr>
          <w:b/>
        </w:rPr>
        <w:t>nicht vorbestraft</w:t>
      </w:r>
      <w:r>
        <w:t>. Das BZR enthält keinerlei Eintragungen. Das ist für die Strafzumessung und die Einstellungsstrategie von erheblicher Bedeutung.</w:t>
      </w:r>
    </w:p>
    <w:p/>
    <w:p>
      <w:pPr>
        <w:pStyle w:val="Heading3"/>
      </w:pPr>
      <w:r>
        <w:rPr>
          <w:rFonts w:ascii="Times New Roman" w:hAnsi="Times New Roman"/>
        </w:rPr>
        <w:t>Wirkung einer Verurteilung auf das Führungszeugnis</w:t>
      </w:r>
    </w:p>
    <w:p>
      <w:pPr>
        <w:jc w:val="left"/>
      </w:pPr>
      <w:r>
        <w:t>Der Strafbefehl setzt 60 Tagessätze fest. Wäre er rechtskräftig, hätte das folgende Auswirkungen: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Aspekt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Regelung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Grundsatz BZR-Eintragung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4 BZRG: Geldstrafen &gt; 90 Tagessätze werden grundsätzlich eingetragen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Eintrag bei 60 TS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Ausnahme: Geldstrafe mit vorangehender Geldstrafe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4 Abs. 1 Nr. 1 lit. b BZRG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frühere Strafe → nicht relevant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Führungszeugnis allgemein (§ 32 BZRG)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Geldstrafen bis 90 TS nicht ins Führungszeugnis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Kein Eintrag im Führungszeugnis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Erweitertes Führungszeugnis (§ 30a BZRG)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Wie allgemeines Führungszeugnis, zuzüglich bestimmter Sexual- und Kontaktdelikte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Ladendiebstahl und § 142 StGB nicht erfasst</w:t>
            </w:r>
          </w:p>
        </w:tc>
      </w:tr>
    </w:tbl>
    <w:p>
      <w:pPr>
        <w:ind w:left="567"/>
      </w:pPr>
      <w:r>
        <w:rPr>
          <w:b/>
          <w:i/>
        </w:rPr>
        <w:t>Ergebnis:</w:t>
      </w:r>
      <w:r>
        <w:rPr>
          <w:i/>
        </w:rPr>
        <w:t xml:space="preserve"> Bei Rechtskraft des Strafbefehls mit 60 Tagessätzen erscheint </w:t>
      </w:r>
      <w:r>
        <w:rPr>
          <w:b/>
          <w:i/>
        </w:rPr>
        <w:t>keine Eintragung im Führungszeugnis</w:t>
      </w:r>
      <w:r>
        <w:rPr>
          <w:i/>
        </w:rPr>
        <w:t xml:space="preserve"> (weder allgemein noch erweitert). Die Befürchtung der Mandantin hinsichtlich einer Führungszeugnis-Beeinträchtigung beim Arbeitgeber ist bei dieser Tagessatzzahl unbegründet.</w:t>
      </w:r>
    </w:p>
    <w:p>
      <w:pPr>
        <w:ind w:left="567"/>
      </w:pPr>
      <w:r>
        <w:rPr>
          <w:b/>
          <w:i/>
        </w:rPr>
        <w:t>Aber Achtung – spätere Eintragung durch neue Tat:</w:t>
      </w:r>
      <w:r>
        <w:rPr>
          <w:i/>
        </w:rPr>
        <w:t xml:space="preserve"> Selbst wenn diese Strafe nicht ins Führungszeugnis einfließt, ist die BZR-Eintragung intern für Behörden abrufbar. Bei einer weiteren Straftat würden beide Voreintragungen zusammengerechnet (§ 4 Abs. 1 Nr. 1 lit. b BZRG).</w:t>
      </w:r>
    </w:p>
    <w:p/>
    <w:p>
      <w:pPr>
        <w:pStyle w:val="Heading2"/>
      </w:pPr>
      <w:r>
        <w:rPr>
          <w:rFonts w:ascii="Times New Roman" w:hAnsi="Times New Roman"/>
        </w:rPr>
        <w:t>Teil 2 – Fahrerlaubnisregister und Fahreignung</w:t>
      </w:r>
    </w:p>
    <w:p>
      <w:pPr>
        <w:pStyle w:val="Heading3"/>
      </w:pPr>
      <w:r>
        <w:rPr>
          <w:rFonts w:ascii="Times New Roman" w:hAnsi="Times New Roman"/>
        </w:rPr>
        <w:t>Auszug FAER/KBA (Bl. 37 d. A.)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Auskunft vom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23. April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Auskunftsstelle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Kraftfahrt-Bundesamt (KBA), Flensburg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Betreffende Person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Samira Albrecht, geb. 14.03.1991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Fahrerlaubnisklassen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Klasse B (PKW)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Erteilungsdatum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 Juni 2015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Entziehungen / Beschränkungen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Punkte im FAER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(null)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Fahrverbot im Strafbefehl (§ 44 StGB)</w:t>
      </w:r>
    </w:p>
    <w:p>
      <w:pPr>
        <w:jc w:val="left"/>
      </w:pPr>
      <w:r>
        <w:t xml:space="preserve">Der Strafbefehl sieht ein </w:t>
      </w:r>
      <w:r>
        <w:rPr>
          <w:b/>
        </w:rPr>
        <w:t>Fahrverbot von 1 Monat</w:t>
      </w:r>
      <w:r>
        <w:t xml:space="preserve"> nach § 44 Abs. 1 StGB vor. Das Fahrverbot ist eine Nebenstrafe und dient der Einwirkung auf den Täter. Es hat keine Auswirkung auf die Fahrerlaubnis selbst (kein Entzug, keine MPU).</w:t>
      </w:r>
    </w:p>
    <w:p>
      <w:pPr>
        <w:jc w:val="left"/>
      </w:pPr>
      <w:r>
        <w:rPr>
          <w:b/>
        </w:rPr>
        <w:t>Vollstreckung des Fahrverbots:</w:t>
      </w:r>
    </w:p>
    <w:p>
      <w:pPr>
        <w:pStyle w:val="ListBullet"/>
      </w:pPr>
      <w:r>
        <w:t>Beginn: mit Rechtskraft des Urteils (bei Einspruch: erst nach Hauptverhandlung)</w:t>
      </w:r>
    </w:p>
    <w:p>
      <w:pPr>
        <w:pStyle w:val="ListBullet"/>
      </w:pPr>
      <w:r>
        <w:t>Ablieferung Führerschein binnen 1 Woche nach Rechtskraft</w:t>
      </w:r>
    </w:p>
    <w:p>
      <w:pPr>
        <w:pStyle w:val="ListBullet"/>
      </w:pPr>
      <w:r>
        <w:t>Kann auch nachgeholt werden, wenn der Führerschein nicht freiwillig abgeliefert wird</w:t>
      </w:r>
    </w:p>
    <w:p>
      <w:pPr>
        <w:jc w:val="left"/>
      </w:pPr>
      <w:r>
        <w:rPr>
          <w:b/>
        </w:rPr>
        <w:t>Mögliche Wirkungen für die Mandantin:</w:t>
      </w:r>
    </w:p>
    <w:p>
      <w:pPr>
        <w:pStyle w:val="ListBullet"/>
      </w:pPr>
      <w:r>
        <w:t>Verlust der Möglichkeit, die Tochter täglich zur Schule zu bringen</w:t>
      </w:r>
    </w:p>
    <w:p>
      <w:pPr>
        <w:pStyle w:val="ListBullet"/>
      </w:pPr>
      <w:r>
        <w:t>Erschwernis des Pendelwegs zur Arbeit (Praxis in Benrath, nicht optimal mit ÖPNV)</w:t>
      </w:r>
    </w:p>
    <w:p>
      <w:pPr>
        <w:pStyle w:val="ListBullet"/>
      </w:pPr>
      <w:r>
        <w:t>Keine Auswirkung auf Beruf (kein Berufskraftfahrer, kein Führerschein-Erfordernis im Arbeitsvertrag)</w:t>
      </w:r>
    </w:p>
    <w:p/>
    <w:p>
      <w:pPr>
        <w:pStyle w:val="Heading3"/>
      </w:pPr>
      <w:r>
        <w:rPr>
          <w:rFonts w:ascii="Times New Roman" w:hAnsi="Times New Roman"/>
        </w:rPr>
        <w:t>§ 142 StGB und Fahreignung – MPU-Risiko</w:t>
      </w:r>
    </w:p>
    <w:p>
      <w:pPr>
        <w:jc w:val="left"/>
      </w:pPr>
      <w:r>
        <w:t xml:space="preserve">Die Verurteilung wegen </w:t>
      </w:r>
      <w:r>
        <w:rPr>
          <w:b/>
        </w:rPr>
        <w:t>§ 142 StGB (unerlaubtes Entfernen vom Unfallort)</w:t>
      </w:r>
      <w:r>
        <w:t xml:space="preserve"> hat für das Fahrerlaubnisrecht folgende Konsequenzen: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Aspekt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Regelung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Punkteintragung im FAER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142 StGB → 1 Punkt (§ 28 Abs. 3 Nr. 3 StVG i.V.m. Anlage 13 FeV)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Bei Verurteilung: </w:t>
            </w:r>
            <w:r>
              <w:rPr>
                <w:rFonts w:ascii="Times New Roman" w:hAnsi="Times New Roman"/>
                <w:b/>
                <w:sz w:val="20"/>
              </w:rPr>
              <w:t>1 Punkt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Fahrerlaubnisrechtlicher Einzug bei § 142 StGB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§ 69 Abs. 2 Nr. 3 StGB: Regelfall Fahrerlaubnisentzug bei § 142 StGB in der Regel </w:t>
            </w:r>
            <w:r>
              <w:rPr>
                <w:rFonts w:ascii="Times New Roman" w:hAnsi="Times New Roman"/>
                <w:b/>
                <w:sz w:val="20"/>
              </w:rPr>
              <w:t>nicht</w:t>
            </w:r>
            <w:r>
              <w:rPr>
                <w:rFonts w:ascii="Times New Roman" w:hAnsi="Times New Roman"/>
                <w:sz w:val="20"/>
              </w:rPr>
              <w:t>, wenn nur geringer Sachschaden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MPU-Anordnung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11 FeV: bei konkreten Anhaltspunkten für Eignungsmangel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Hier: kein Anhaltspunkt für charakterliche Ungeeignetheit aus nur einem Vorfall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Regelentziehung § 69 Abs. 2 StGB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Voraussetzung: Flucht, um sich der Verantwortung zu entziehen – bei geringfügigem Schaden und nicht eindeutig festgestelltem Vorsatz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Regelentziehung nicht einschlägig</w:t>
            </w:r>
          </w:p>
        </w:tc>
      </w:tr>
    </w:tbl>
    <w:p>
      <w:pPr>
        <w:ind w:left="567"/>
      </w:pPr>
      <w:r>
        <w:rPr>
          <w:b/>
          <w:i/>
        </w:rPr>
        <w:t>Ergebnis:</w:t>
      </w:r>
      <w:r>
        <w:rPr>
          <w:i/>
        </w:rPr>
        <w:t xml:space="preserve"> Eine MPU (Medizinisch-Psychologische Untersuchung) ist auf Basis dieser Verurteilung </w:t>
      </w:r>
      <w:r>
        <w:rPr>
          <w:b/>
          <w:i/>
        </w:rPr>
        <w:t>nicht automatisch</w:t>
      </w:r>
      <w:r>
        <w:rPr>
          <w:i/>
        </w:rPr>
        <w:t xml:space="preserve"> zu erwarten. Die Fahrerlaubnisbehörde kann jedoch eigenständig tätig werden, wenn sie durch das Gericht benachrichtigt wird (§ 59 FeV). Bei 1 Punkt kein automatischer Fahrerlaubnisentzug; bei 8 Punkten Entzug (§ 4 StVG).</w:t>
      </w:r>
    </w:p>
    <w:p/>
    <w:p>
      <w:pPr>
        <w:pStyle w:val="Heading3"/>
      </w:pPr>
      <w:r>
        <w:rPr>
          <w:rFonts w:ascii="Times New Roman" w:hAnsi="Times New Roman"/>
        </w:rPr>
        <w:t>Berufliche Folgen – 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Einschätzung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Führungszeugnis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kein Eintrag</w:t>
            </w:r>
            <w:r>
              <w:rPr>
                <w:rFonts w:ascii="Times New Roman" w:hAnsi="Times New Roman"/>
                <w:sz w:val="20"/>
              </w:rPr>
              <w:t xml:space="preserve"> bei 60 TS (s.o.)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Kündigung wegen Straftat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Nur bei dienstlichem Bezug; kein Zusammenhang mit med. Fachangestellter erkennbar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Probezeit-Kündigung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Theoretisch möglich, wenn Arbeitgeber durch Dritte informiert wird; kein Automatismus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Berufszulassung Heilberufe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 Abs. 1 Nr. 2 GewO analog: einschlägige Vorstrafen erforderlich; 60 TS Ladendiebstahl nicht approbationsrelevant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Erweiterte Sicherheitsüberprüfung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erforderlich im Gesundheitsbereich (kein sicherheitsrelevanter Bereich)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Teil 3 – Zusammenfassung und strategische Empfehlung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Ohne Einspruch (Strafbefehl rechtskräftig)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Mit Einspruch / Einstellung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BZR-Eintrag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(intern), kein Führungszeugnis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Eintrag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Führungszeugnis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  <w:r>
              <w:rPr>
                <w:rFonts w:ascii="Times New Roman" w:hAnsi="Times New Roman"/>
                <w:sz w:val="20"/>
              </w:rPr>
              <w:t xml:space="preserve"> (&lt; 90 TS)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FAER-Punkt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Punkt bei § 142 StGB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Punkte (keine Verurteilung)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Fahrverbot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Monat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entfällt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MPU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Geldstrafe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3.300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entfällt / deutlich reduziert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Berufliche Folgen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gering, aber nicht ausgeschlossen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Einspruch einlegen und auf Einstellung nach §§ 153, 153a StPO hinwirken. Bei der Fahrerflucht: subjektiver Tatbestand (Kenntnis vom Unfall) nach Akteneinsicht bestreiten oder Einlassung erarbeiten.</w:t>
      </w:r>
    </w:p>
    <w:p/>
    <w:p>
      <w:pPr>
        <w:jc w:val="left"/>
      </w:pPr>
      <w:r>
        <w:rPr>
          <w:i/>
        </w:rPr>
        <w:t>Prüfvermerk erstellt: RAin Petra Mertens, 24.05.2026</w:t>
      </w:r>
    </w:p>
    <w:p>
      <w:pPr>
        <w:jc w:val="left"/>
      </w:pPr>
      <w:r>
        <w:rPr>
          <w:i/>
        </w:rPr>
        <w:t>Interne Aktenablage: M&amp;P/2026/STR-0047/BZR-Nebenfolgen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