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Hauptverhandlungsplan – Strafsache Albrecht</w:t>
      </w:r>
    </w:p>
    <w:p>
      <w:pPr>
        <w:ind w:left="567"/>
      </w:pPr>
      <w:r>
        <w:rPr>
          <w:b/>
          <w:i/>
        </w:rPr>
        <w:t>Kanzlei Mertens &amp; Partner, Rechtsanwälte</w:t>
      </w:r>
    </w:p>
    <w:p>
      <w:pPr>
        <w:ind w:left="567"/>
      </w:pPr>
      <w:r>
        <w:rPr>
          <w:i/>
        </w:rPr>
        <w:t>Verhandlungsvorbereitung – Az. 126 Cs 402 Js 1182/26</w:t>
      </w:r>
    </w:p>
    <w:p>
      <w:pPr>
        <w:ind w:left="567"/>
      </w:pPr>
      <w:r>
        <w:rPr>
          <w:i/>
        </w:rPr>
        <w:t>Verfasser: RAin Petra Mertens</w:t>
      </w:r>
    </w:p>
    <w:p>
      <w:pPr>
        <w:ind w:left="567"/>
      </w:pPr>
      <w:r>
        <w:rPr>
          <w:i/>
        </w:rPr>
        <w:t>Datum: 15. Juni 2026 (Entwurf nach Akteneinsicht)</w:t>
      </w:r>
    </w:p>
    <w:p>
      <w:pPr>
        <w:ind w:left="567"/>
      </w:pPr>
      <w:r>
        <w:rPr>
          <w:i/>
        </w:rPr>
        <w:t>Hauptverhandlungstermin: voraussichtlich 08. Juli 2026, 09:30 Uhr, AG Düsseldorf, Saal 214</w:t>
      </w:r>
    </w:p>
    <w:p/>
    <w:p>
      <w:pPr>
        <w:pStyle w:val="Heading2"/>
      </w:pPr>
      <w:r>
        <w:rPr>
          <w:rFonts w:ascii="Times New Roman" w:hAnsi="Times New Roman"/>
        </w:rPr>
        <w:t>Eckdaten der Verhandlung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Gericht</w:t>
            </w:r>
          </w:p>
        </w:tc>
        <w:tc>
          <w:tcPr>
            <w:tcW w:type="dxa" w:w="4536"/>
          </w:tcPr>
          <w:p>
            <w:r>
              <w:rPr>
                <w:rFonts w:ascii="Times New Roman" w:hAnsi="Times New Roman"/>
                <w:sz w:val="20"/>
              </w:rPr>
              <w:t>Amtsgericht Düsseldorf, Strafabteilung 126</w:t>
            </w:r>
          </w:p>
        </w:tc>
      </w:tr>
      <w:tr>
        <w:tc>
          <w:tcPr>
            <w:tcW w:type="dxa" w:w="4536"/>
          </w:tcPr>
          <w:p>
            <w:r>
              <w:rPr>
                <w:rFonts w:ascii="Times New Roman" w:hAnsi="Times New Roman"/>
                <w:b/>
                <w:sz w:val="20"/>
              </w:rPr>
              <w:t>Vorsitzender</w:t>
            </w:r>
          </w:p>
        </w:tc>
        <w:tc>
          <w:tcPr>
            <w:tcW w:type="dxa" w:w="4536"/>
          </w:tcPr>
          <w:p>
            <w:r>
              <w:rPr>
                <w:rFonts w:ascii="Times New Roman" w:hAnsi="Times New Roman"/>
                <w:sz w:val="20"/>
              </w:rPr>
              <w:t>Ri Krichbaum</w:t>
            </w:r>
          </w:p>
        </w:tc>
      </w:tr>
      <w:tr>
        <w:tc>
          <w:tcPr>
            <w:tcW w:type="dxa" w:w="4536"/>
          </w:tcPr>
          <w:p>
            <w:r>
              <w:rPr>
                <w:rFonts w:ascii="Times New Roman" w:hAnsi="Times New Roman"/>
                <w:b/>
                <w:sz w:val="20"/>
              </w:rPr>
              <w:t>Aktenzeichen</w:t>
            </w:r>
          </w:p>
        </w:tc>
        <w:tc>
          <w:tcPr>
            <w:tcW w:type="dxa" w:w="4536"/>
          </w:tcPr>
          <w:p>
            <w:r>
              <w:rPr>
                <w:rFonts w:ascii="Times New Roman" w:hAnsi="Times New Roman"/>
                <w:sz w:val="20"/>
              </w:rPr>
              <w:t>126 Cs 402 Js 1182/26</w:t>
            </w:r>
          </w:p>
        </w:tc>
      </w:tr>
      <w:tr>
        <w:tc>
          <w:tcPr>
            <w:tcW w:type="dxa" w:w="4536"/>
          </w:tcPr>
          <w:p>
            <w:r>
              <w:rPr>
                <w:rFonts w:ascii="Times New Roman" w:hAnsi="Times New Roman"/>
                <w:b/>
                <w:sz w:val="20"/>
              </w:rPr>
              <w:t>Angeklagte</w:t>
            </w:r>
          </w:p>
        </w:tc>
        <w:tc>
          <w:tcPr>
            <w:tcW w:type="dxa" w:w="4536"/>
          </w:tcPr>
          <w:p>
            <w:r>
              <w:rPr>
                <w:rFonts w:ascii="Times New Roman" w:hAnsi="Times New Roman"/>
                <w:sz w:val="20"/>
              </w:rPr>
              <w:t>Samira Albrecht, geb. 14.03.1991</w:t>
            </w:r>
          </w:p>
        </w:tc>
      </w:tr>
      <w:tr>
        <w:tc>
          <w:tcPr>
            <w:tcW w:type="dxa" w:w="4536"/>
          </w:tcPr>
          <w:p>
            <w:r>
              <w:rPr>
                <w:rFonts w:ascii="Times New Roman" w:hAnsi="Times New Roman"/>
                <w:b/>
                <w:sz w:val="20"/>
              </w:rPr>
              <w:t>Verteidigerin</w:t>
            </w:r>
          </w:p>
        </w:tc>
        <w:tc>
          <w:tcPr>
            <w:tcW w:type="dxa" w:w="4536"/>
          </w:tcPr>
          <w:p>
            <w:r>
              <w:rPr>
                <w:rFonts w:ascii="Times New Roman" w:hAnsi="Times New Roman"/>
                <w:sz w:val="20"/>
              </w:rPr>
              <w:t>RAin Petra Mertens</w:t>
            </w:r>
          </w:p>
        </w:tc>
      </w:tr>
      <w:tr>
        <w:tc>
          <w:tcPr>
            <w:tcW w:type="dxa" w:w="4536"/>
          </w:tcPr>
          <w:p>
            <w:r>
              <w:rPr>
                <w:rFonts w:ascii="Times New Roman" w:hAnsi="Times New Roman"/>
                <w:b/>
                <w:sz w:val="20"/>
              </w:rPr>
              <w:t>Staatsanwaltschaft</w:t>
            </w:r>
          </w:p>
        </w:tc>
        <w:tc>
          <w:tcPr>
            <w:tcW w:type="dxa" w:w="4536"/>
          </w:tcPr>
          <w:p>
            <w:r>
              <w:rPr>
                <w:rFonts w:ascii="Times New Roman" w:hAnsi="Times New Roman"/>
                <w:sz w:val="20"/>
              </w:rPr>
              <w:t>StA'in Dr. Sabine Rohloff oder Vertreterin</w:t>
            </w:r>
          </w:p>
        </w:tc>
      </w:tr>
      <w:tr>
        <w:tc>
          <w:tcPr>
            <w:tcW w:type="dxa" w:w="4536"/>
          </w:tcPr>
          <w:p>
            <w:r>
              <w:rPr>
                <w:rFonts w:ascii="Times New Roman" w:hAnsi="Times New Roman"/>
                <w:b/>
                <w:sz w:val="20"/>
              </w:rPr>
              <w:t>Vorgeladene Zeugen</w:t>
            </w:r>
          </w:p>
        </w:tc>
        <w:tc>
          <w:tcPr>
            <w:tcW w:type="dxa" w:w="4536"/>
          </w:tcPr>
          <w:p>
            <w:r>
              <w:rPr>
                <w:rFonts w:ascii="Times New Roman" w:hAnsi="Times New Roman"/>
                <w:sz w:val="20"/>
              </w:rPr>
              <w:t>Erik Neumann (Ladendetektiv); PHK'in Monika König (Polizei KK 32); ggf. Martina Fröhlich (Geschädigte § 142)</w:t>
            </w:r>
          </w:p>
        </w:tc>
      </w:tr>
      <w:tr>
        <w:tc>
          <w:tcPr>
            <w:tcW w:type="dxa" w:w="4536"/>
          </w:tcPr>
          <w:p>
            <w:r>
              <w:rPr>
                <w:rFonts w:ascii="Times New Roman" w:hAnsi="Times New Roman"/>
                <w:b/>
                <w:sz w:val="20"/>
              </w:rPr>
              <w:t>Verhandlungssprache</w:t>
            </w:r>
          </w:p>
        </w:tc>
        <w:tc>
          <w:tcPr>
            <w:tcW w:type="dxa" w:w="4536"/>
          </w:tcPr>
          <w:p>
            <w:r>
              <w:rPr>
                <w:rFonts w:ascii="Times New Roman" w:hAnsi="Times New Roman"/>
                <w:sz w:val="20"/>
              </w:rPr>
              <w:t>Deutsch</w:t>
            </w:r>
          </w:p>
        </w:tc>
      </w:tr>
      <w:tr>
        <w:tc>
          <w:tcPr>
            <w:tcW w:type="dxa" w:w="4536"/>
          </w:tcPr>
          <w:p>
            <w:r>
              <w:rPr>
                <w:rFonts w:ascii="Times New Roman" w:hAnsi="Times New Roman"/>
                <w:b/>
                <w:sz w:val="20"/>
              </w:rPr>
              <w:t>Erwartete Dauer</w:t>
            </w:r>
          </w:p>
        </w:tc>
        <w:tc>
          <w:tcPr>
            <w:tcW w:type="dxa" w:w="4536"/>
          </w:tcPr>
          <w:p>
            <w:r>
              <w:rPr>
                <w:rFonts w:ascii="Times New Roman" w:hAnsi="Times New Roman"/>
                <w:sz w:val="20"/>
              </w:rPr>
              <w:t>2–3 Stunden</w:t>
            </w:r>
          </w:p>
        </w:tc>
      </w:tr>
    </w:tbl>
    <w:p/>
    <w:p>
      <w:pPr>
        <w:pStyle w:val="Heading2"/>
      </w:pPr>
      <w:r>
        <w:rPr>
          <w:rFonts w:ascii="Times New Roman" w:hAnsi="Times New Roman"/>
        </w:rPr>
        <w:t>Phase 1 – Eröffnung und Personalien (ca. 09:30–09:45 Uhr)</w:t>
      </w:r>
    </w:p>
    <w:p>
      <w:pPr>
        <w:pStyle w:val="Heading3"/>
      </w:pPr>
      <w:r>
        <w:rPr>
          <w:rFonts w:ascii="Times New Roman" w:hAnsi="Times New Roman"/>
        </w:rPr>
        <w:t>Aufgaben der Verteidigung</w:t>
      </w:r>
    </w:p>
    <w:p>
      <w:pPr>
        <w:pStyle w:val="ListBullet"/>
      </w:pPr>
      <w:r>
        <w:t>Vor Verhandlung: Personalien der Angeklagten mit ihr absprechen (Name, Geburtsdatum, Wohnort, Beruf, Familienstand)</w:t>
      </w:r>
    </w:p>
    <w:p>
      <w:pPr>
        <w:pStyle w:val="ListBullet"/>
      </w:pPr>
      <w:r>
        <w:rPr>
          <w:b/>
        </w:rPr>
        <w:t>Keine freiwillige Angabe</w:t>
      </w:r>
      <w:r>
        <w:t xml:space="preserve"> zu Einkommens- oder Lebensumständen vor dem Gericht, es sei denn ausdrücklich vom Gericht gefragt und nach vorheriger Abstimmung</w:t>
      </w:r>
    </w:p>
    <w:p>
      <w:pPr>
        <w:pStyle w:val="ListBullet"/>
      </w:pPr>
      <w:r>
        <w:t xml:space="preserve">Hinweis an Mandantin: </w:t>
      </w:r>
      <w:r>
        <w:rPr>
          <w:b/>
        </w:rPr>
        <w:t>Ruhig bleiben, keine spontanen Äußerungen</w:t>
      </w:r>
      <w:r>
        <w:t>, auch nicht auf Aussagen von Zeugen reagieren</w:t>
      </w:r>
    </w:p>
    <w:p>
      <w:pPr>
        <w:pStyle w:val="Heading3"/>
      </w:pPr>
      <w:r>
        <w:rPr>
          <w:rFonts w:ascii="Times New Roman" w:hAnsi="Times New Roman"/>
        </w:rPr>
        <w:t>Erwarteter Ablauf</w:t>
      </w:r>
    </w:p>
    <w:p>
      <w:pPr>
        <w:pStyle w:val="ListNumber"/>
      </w:pPr>
      <w:r>
        <w:t>Aufruf der Sache durch Geschäftsstelle</w:t>
      </w:r>
    </w:p>
    <w:p>
      <w:pPr>
        <w:pStyle w:val="ListNumber"/>
      </w:pPr>
      <w:r>
        <w:t>Feststellung der Anwesenheit (Angeklagte, Verteidigerin, Staatsanwaltschaft, Zeugen)</w:t>
      </w:r>
    </w:p>
    <w:p>
      <w:pPr>
        <w:pStyle w:val="ListNumber"/>
      </w:pPr>
      <w:r>
        <w:t>Entlassung der Zeugen aus dem Sitzungssaal (§ 243 Abs. 2 StPO)</w:t>
      </w:r>
    </w:p>
    <w:p>
      <w:pPr>
        <w:pStyle w:val="ListNumber"/>
      </w:pPr>
      <w:r>
        <w:t>Verlesung des Anklagesatzes / Strafbefehlsinhalts durch Gericht</w:t>
      </w:r>
    </w:p>
    <w:p>
      <w:pPr>
        <w:pStyle w:val="ListNumber"/>
      </w:pPr>
      <w:r>
        <w:t>Belehrung der Angeklagten über Aussageverweigerungsrecht (§ 243 Abs. 5 StPO)</w:t>
      </w:r>
    </w:p>
    <w:p>
      <w:pPr>
        <w:pStyle w:val="ListNumber"/>
      </w:pPr>
      <w:r>
        <w:rPr>
          <w:b/>
        </w:rPr>
        <w:t>Erklärung der Verteidigung:</w:t>
      </w:r>
      <w:r>
        <w:t xml:space="preserve"> Mandantin macht von ihrem Schweigerecht Gebrauch oder gibt Einlassung ab (je nach Strategie nach Akteneinsicht)</w:t>
      </w:r>
    </w:p>
    <w:p/>
    <w:p>
      <w:pPr>
        <w:pStyle w:val="Heading2"/>
      </w:pPr>
      <w:r>
        <w:rPr>
          <w:rFonts w:ascii="Times New Roman" w:hAnsi="Times New Roman"/>
        </w:rPr>
        <w:t>Phase 2 – Einlassung der Angeklagten (ca. 09:45–10:15 Uhr)</w:t>
      </w:r>
    </w:p>
    <w:p>
      <w:pPr>
        <w:pStyle w:val="Heading3"/>
      </w:pPr>
      <w:r>
        <w:rPr>
          <w:rFonts w:ascii="Times New Roman" w:hAnsi="Times New Roman"/>
        </w:rPr>
        <w:t>Strategieoption A: Vollständige Einlassung zur Sache</w:t>
      </w:r>
    </w:p>
    <w:p>
      <w:pPr>
        <w:jc w:val="left"/>
      </w:pPr>
      <w:r>
        <w:t>Nur wenn Akteneinsicht und Mandantengespräch ergeben haben, dass eine Einlassung die Beweissituation verbessert (z.B. subjektiver Tatbestand überzeugend darstellbar). In diesem Fall:</w:t>
      </w:r>
    </w:p>
    <w:p>
      <w:pPr>
        <w:jc w:val="left"/>
      </w:pPr>
      <w:r>
        <w:rPr>
          <w:b/>
        </w:rPr>
        <w:t>Zu Tat 1 (Ladendiebstahl):</w:t>
      </w:r>
    </w:p>
    <w:p>
      <w:pPr>
        <w:ind w:left="567"/>
      </w:pPr>
      <w:r>
        <w:rPr>
          <w:i/>
        </w:rPr>
        <w:t>"Meine Mandantin gibt an, dass sie an dem Tag stark abgelenkt war, weil ihre Tochter krank war und sie früh von der Arbeit musste. Sie kann nicht mit Sicherheit sagen, ob sie die Artikel bewusst oder unbewusst in die Manteltasche gesteckt hat. Als ihr das im Ladendetektivbüro klar wurde, hat sie sofort und vollständig kooperiert, die Ware zurückgegeben und sich aufrichtig entschuldigt."</w:t>
      </w:r>
    </w:p>
    <w:p>
      <w:pPr>
        <w:jc w:val="left"/>
      </w:pPr>
      <w:r>
        <w:rPr>
          <w:b/>
        </w:rPr>
        <w:t>Zu Tat 2 (§ 142 StGB):</w:t>
      </w:r>
    </w:p>
    <w:p>
      <w:pPr>
        <w:ind w:left="567"/>
      </w:pPr>
      <w:r>
        <w:rPr>
          <w:i/>
        </w:rPr>
        <w:t>"Meine Mandantin hat beim Ausparken keinen Aufprall wahrgenommen – weder optisch noch akustisch noch durch Erschütterung. Ihr Fahrzeug (ein älterer Kleinwagen mit Stoßstangenpuffer) ist für geringe Kontakte oft nicht spürbar. Sie hat das Parkhaus verlassen, ohne zu wissen, dass es zu einem Schaden gekommen sein könnte."</w:t>
      </w:r>
    </w:p>
    <w:p>
      <w:pPr>
        <w:pStyle w:val="Heading3"/>
      </w:pPr>
      <w:r>
        <w:rPr>
          <w:rFonts w:ascii="Times New Roman" w:hAnsi="Times New Roman"/>
        </w:rPr>
        <w:t>Strategieoption B: Schweigen</w:t>
      </w:r>
    </w:p>
    <w:p>
      <w:pPr>
        <w:jc w:val="left"/>
      </w:pPr>
      <w:r>
        <w:t>Wenn Einlassung das Risiko erhöht oder die Beweislage nach Akteneinsicht ungünstig ist: Mandantin macht von Schweigerecht Gebrauch. Verteidigerin gibt Erklärung ab, dass eine Einlassung nicht erfolgt. Keine Wertung durch das Gericht (§ 261 StPO).</w:t>
      </w:r>
    </w:p>
    <w:p>
      <w:pPr>
        <w:pStyle w:val="Heading3"/>
      </w:pPr>
      <w:r>
        <w:rPr>
          <w:rFonts w:ascii="Times New Roman" w:hAnsi="Times New Roman"/>
        </w:rPr>
        <w:t>Vorbereitung der Mandantin (Checkliste)</w:t>
      </w:r>
    </w:p>
    <w:p>
      <w:pPr>
        <w:pStyle w:val="ListBullet"/>
      </w:pPr>
      <w:r>
        <w:t>[ ] Simuliertes Mandantengespräch zu den Tatvorwürfen</w:t>
      </w:r>
    </w:p>
    <w:p>
      <w:pPr>
        <w:pStyle w:val="ListBullet"/>
      </w:pPr>
      <w:r>
        <w:t>[ ] Formulierung der Einlassung in einfacher Sprache, schriftlich vorbereiten</w:t>
      </w:r>
    </w:p>
    <w:p>
      <w:pPr>
        <w:pStyle w:val="ListBullet"/>
      </w:pPr>
      <w:r>
        <w:t>[ ] Einlassung mehrfach gemeinsam geübt</w:t>
      </w:r>
    </w:p>
    <w:p>
      <w:pPr>
        <w:pStyle w:val="ListBullet"/>
      </w:pPr>
      <w:r>
        <w:t>[ ] Körpersprache und Ruhe besprochen</w:t>
      </w:r>
    </w:p>
    <w:p>
      <w:pPr>
        <w:pStyle w:val="ListBullet"/>
      </w:pPr>
      <w:r>
        <w:t>[ ] Weinendes oder aufgewühltes Verhalten vorbereiten: Erklärung, dass Mandantin emotional reagiert, kein Schweigen erforderlich</w:t>
      </w:r>
    </w:p>
    <w:p/>
    <w:p>
      <w:pPr>
        <w:pStyle w:val="Heading2"/>
      </w:pPr>
      <w:r>
        <w:rPr>
          <w:rFonts w:ascii="Times New Roman" w:hAnsi="Times New Roman"/>
        </w:rPr>
        <w:t>Phase 3 – Beweisaufnahme: Zeugenbefragung (ca. 10:15–11:30 Uhr)</w:t>
      </w:r>
    </w:p>
    <w:p>
      <w:pPr>
        <w:pStyle w:val="Heading3"/>
      </w:pPr>
      <w:r>
        <w:rPr>
          <w:rFonts w:ascii="Times New Roman" w:hAnsi="Times New Roman"/>
        </w:rPr>
        <w:t>Zeuge 1: Erik Neumann (Ladendetektiv)</w:t>
      </w:r>
    </w:p>
    <w:p>
      <w:pPr>
        <w:jc w:val="left"/>
      </w:pPr>
      <w:r>
        <w:rPr>
          <w:b/>
        </w:rPr>
        <w:t>Ziel:</w:t>
      </w:r>
      <w:r>
        <w:t xml:space="preserve"> Glaubwürdigkeit der Aussage einschränken; Sichtlücke herausarbeiten; Strafmilderungsgesichtspunkte festigen.</w:t>
      </w:r>
    </w:p>
    <w:p>
      <w:pPr>
        <w:jc w:val="left"/>
      </w:pPr>
      <w:r>
        <w:rPr>
          <w:b/>
        </w:rPr>
        <w:t>Hauptfragen (Kurzform; vollständige Fragenliste → Datei 14):</w:t>
      </w:r>
    </w:p>
    <w:p>
      <w:pPr>
        <w:pStyle w:val="ListNumber"/>
      </w:pPr>
      <w:r>
        <w:t>Exakte Position im Ladenlokal?</w:t>
      </w:r>
    </w:p>
    <w:p>
      <w:pPr>
        <w:pStyle w:val="ListNumber"/>
      </w:pPr>
      <w:r>
        <w:t>Sichtunterbrechung von ca. 18 Sekunden: Was genau war während dieser Zeit nicht sichtbar?</w:t>
      </w:r>
    </w:p>
    <w:p>
      <w:pPr>
        <w:pStyle w:val="ListNumber"/>
      </w:pPr>
      <w:r>
        <w:t>Können Sie definitiv ausschließen, dass die Ware bereits in der Tasche lag, als die Mandantin das Geschäft betrat?</w:t>
      </w:r>
    </w:p>
    <w:p>
      <w:pPr>
        <w:pStyle w:val="ListNumber"/>
      </w:pPr>
      <w:r>
        <w:t>Hat die Mandantin die Ware vollständig und sofort zurückgegeben?</w:t>
      </w:r>
    </w:p>
    <w:p>
      <w:pPr>
        <w:pStyle w:val="ListNumber"/>
      </w:pPr>
      <w:r>
        <w:t>Haben Sie die Entschuldigung als glaubwürdig empfunden?</w:t>
      </w:r>
    </w:p>
    <w:p>
      <w:pPr>
        <w:pStyle w:val="ListNumber"/>
      </w:pPr>
      <w:r>
        <w:t>Haben Sie schon einmal erlebt, dass jemand Ware versehentlich einsteckte?</w:t>
      </w:r>
    </w:p>
    <w:p>
      <w:pPr>
        <w:pStyle w:val="ListNumber"/>
      </w:pPr>
      <w:r>
        <w:t>Ist das Videomaterial eindeutig?</w:t>
      </w:r>
    </w:p>
    <w:p>
      <w:pPr>
        <w:pStyle w:val="Heading3"/>
      </w:pPr>
      <w:r>
        <w:rPr>
          <w:rFonts w:ascii="Times New Roman" w:hAnsi="Times New Roman"/>
        </w:rPr>
        <w:t>Zeuge 2: PHK'in Monika König (Polizei, Tatvorwurf Tat 1)</w:t>
      </w:r>
    </w:p>
    <w:p>
      <w:pPr>
        <w:jc w:val="left"/>
      </w:pPr>
      <w:r>
        <w:rPr>
          <w:b/>
        </w:rPr>
        <w:t>Ziel:</w:t>
      </w:r>
      <w:r>
        <w:t xml:space="preserve"> Feststellungen zu Videoauflösung und Einlassungssituation klarstellen; Verfahrensfehler prüfen.</w:t>
      </w:r>
    </w:p>
    <w:p>
      <w:pPr>
        <w:pStyle w:val="ListNumber"/>
      </w:pPr>
      <w:r>
        <w:t>Wurde die Angeklagte korrekt belehrt?</w:t>
      </w:r>
    </w:p>
    <w:p>
      <w:pPr>
        <w:pStyle w:val="ListNumber"/>
      </w:pPr>
      <w:r>
        <w:t>Hat die Angeklagte während der Belehrung geweint oder war sie erkennbar unter Schock?</w:t>
      </w:r>
    </w:p>
    <w:p>
      <w:pPr>
        <w:pStyle w:val="ListNumber"/>
      </w:pPr>
      <w:r>
        <w:t>Was hat das Video aus Ihrer Sicht konkret gezeigt?</w:t>
      </w:r>
    </w:p>
    <w:p>
      <w:pPr>
        <w:pStyle w:val="ListNumber"/>
      </w:pPr>
      <w:r>
        <w:t>Haben Sie die Originalvideodatei selbst gesehen oder nur Ausdrucke?</w:t>
      </w:r>
    </w:p>
    <w:p>
      <w:pPr>
        <w:pStyle w:val="ListNumber"/>
      </w:pPr>
      <w:r>
        <w:t>Ist die Auflösung der Originaldatei besser als die der Ausdrucke?</w:t>
      </w:r>
    </w:p>
    <w:p>
      <w:pPr>
        <w:pStyle w:val="Heading3"/>
      </w:pPr>
      <w:r>
        <w:rPr>
          <w:rFonts w:ascii="Times New Roman" w:hAnsi="Times New Roman"/>
        </w:rPr>
        <w:t>Zeuge 3 (falls geladen): Martina Fröhlich (Geschädigte, § 142 StGB)</w:t>
      </w:r>
    </w:p>
    <w:p>
      <w:pPr>
        <w:jc w:val="left"/>
      </w:pPr>
      <w:r>
        <w:rPr>
          <w:b/>
        </w:rPr>
        <w:t>Ziel:</w:t>
      </w:r>
      <w:r>
        <w:t xml:space="preserve"> Wahrnehmbarkeit des Kontakts aus Fahrerperspektive aufklären; Schadenshöhe hinterfragen.</w:t>
      </w:r>
    </w:p>
    <w:p>
      <w:pPr>
        <w:pStyle w:val="ListNumber"/>
      </w:pPr>
      <w:r>
        <w:t>Waren Sie beim Parkvorgang der Angeklagten anwesend?</w:t>
      </w:r>
    </w:p>
    <w:p>
      <w:pPr>
        <w:pStyle w:val="ListNumber"/>
      </w:pPr>
      <w:r>
        <w:t>Haben Sie den Kontakt selbst wahrgenommen?</w:t>
      </w:r>
    </w:p>
    <w:p>
      <w:pPr>
        <w:pStyle w:val="ListNumber"/>
      </w:pPr>
      <w:r>
        <w:t>Auf welcher Grundlage wurde die Schadenshöhe von 1.180 EUR ermittelt?</w:t>
      </w:r>
    </w:p>
    <w:p>
      <w:pPr>
        <w:pStyle w:val="ListNumber"/>
      </w:pPr>
      <w:r>
        <w:t>Hat das Autohaus die Reparatur durchgeführt, und zu welchem Preis?</w:t>
      </w:r>
    </w:p>
    <w:p>
      <w:pPr>
        <w:pStyle w:val="ListNumber"/>
      </w:pPr>
      <w:r>
        <w:t>Gibt es ein zweites Gutachten?</w:t>
      </w:r>
    </w:p>
    <w:p/>
    <w:p>
      <w:pPr>
        <w:pStyle w:val="Heading2"/>
      </w:pPr>
      <w:r>
        <w:rPr>
          <w:rFonts w:ascii="Times New Roman" w:hAnsi="Times New Roman"/>
        </w:rPr>
        <w:t>Phase 4 – Plädoyers und Antragstellung (ca. 11:30–12:00 Uhr)</w:t>
      </w:r>
    </w:p>
    <w:p>
      <w:pPr>
        <w:pStyle w:val="Heading3"/>
      </w:pPr>
      <w:r>
        <w:rPr>
          <w:rFonts w:ascii="Times New Roman" w:hAnsi="Times New Roman"/>
        </w:rPr>
        <w:t>Erwartetes Staatsanwaltsplädoyer</w:t>
      </w:r>
    </w:p>
    <w:p>
      <w:pPr>
        <w:jc w:val="left"/>
      </w:pPr>
      <w:r>
        <w:t>Vermutliche Anträge der Staatsanwaltschaft (Schätzung):</w:t>
      </w:r>
    </w:p>
    <w:p>
      <w:pPr>
        <w:pStyle w:val="ListBullet"/>
      </w:pPr>
      <w:r>
        <w:t>Beibehaltung des Strafbefehls oder moderate Anpassung</w:t>
      </w:r>
    </w:p>
    <w:p>
      <w:pPr>
        <w:pStyle w:val="ListBullet"/>
      </w:pPr>
      <w:r>
        <w:t>Tagessatz: 50–55 EUR</w:t>
      </w:r>
    </w:p>
    <w:p>
      <w:pPr>
        <w:pStyle w:val="ListBullet"/>
      </w:pPr>
      <w:r>
        <w:t>Fahrverbot: 1 Monat</w:t>
      </w:r>
    </w:p>
    <w:p>
      <w:pPr>
        <w:pStyle w:val="Heading3"/>
      </w:pPr>
      <w:r>
        <w:rPr>
          <w:rFonts w:ascii="Times New Roman" w:hAnsi="Times New Roman"/>
        </w:rPr>
        <w:t>Plädoyer der Verteidigung – Gliederung</w:t>
      </w:r>
    </w:p>
    <w:p>
      <w:pPr>
        <w:jc w:val="left"/>
      </w:pPr>
      <w:r>
        <w:rPr>
          <w:b/>
        </w:rPr>
        <w:t>A. Zur Schuldfrage (bei unbeschränktem Einspruch):</w:t>
      </w:r>
    </w:p>
    <w:p>
      <w:pPr>
        <w:pStyle w:val="ListNumber"/>
      </w:pPr>
      <w:r>
        <w:t>Tat 1: Zweifel am Vorsatz (Ablenkung, nicht eindeutiges Video)</w:t>
      </w:r>
    </w:p>
    <w:p>
      <w:pPr>
        <w:pStyle w:val="ListNumber"/>
      </w:pPr>
      <w:r>
        <w:t>Tat 2: Fehlende subjektive Kenntnis vom Unfall</w:t>
      </w:r>
    </w:p>
    <w:p>
      <w:pPr>
        <w:jc w:val="left"/>
      </w:pPr>
      <w:r>
        <w:rPr>
          <w:b/>
        </w:rPr>
        <w:t>B. Zur Strafzumessung (in jedem Fall):</w:t>
      </w:r>
    </w:p>
    <w:p>
      <w:pPr>
        <w:pStyle w:val="ListNumber"/>
      </w:pPr>
      <w:r>
        <w:t>Ersttäterin ohne Vorstrafen (BZR blank)</w:t>
      </w:r>
    </w:p>
    <w:p>
      <w:pPr>
        <w:pStyle w:val="ListNumber"/>
      </w:pPr>
      <w:r>
        <w:t>Vollständige Rückgabe der Ware, spontane Entschuldigung</w:t>
      </w:r>
    </w:p>
    <w:p>
      <w:pPr>
        <w:pStyle w:val="ListNumber"/>
      </w:pPr>
      <w:r>
        <w:t>Tiefe persönliche Betroffenheit</w:t>
      </w:r>
    </w:p>
    <w:p>
      <w:pPr>
        <w:pStyle w:val="ListNumber"/>
      </w:pPr>
      <w:r>
        <w:t>Berufliche Situation, Unterhaltspflicht (Tochter 8 J., Alleinerziehend)</w:t>
      </w:r>
    </w:p>
    <w:p>
      <w:pPr>
        <w:pStyle w:val="ListNumber"/>
      </w:pPr>
      <w:r>
        <w:t>Geringer Schaden (47,80 EUR) → § 248a StGB</w:t>
      </w:r>
    </w:p>
    <w:p>
      <w:pPr>
        <w:pStyle w:val="ListNumber"/>
      </w:pPr>
      <w:r>
        <w:t>Tagessatz-Anpassung: 43 EUR (Begründung mit Einkommensbelegen)</w:t>
      </w:r>
    </w:p>
    <w:p>
      <w:pPr>
        <w:pStyle w:val="ListNumber"/>
      </w:pPr>
      <w:r>
        <w:t>Wegfall Fahrverbot: Ersttäterin, keine Verkehrsvorbelastung, soziale Abhängigkeit</w:t>
      </w:r>
    </w:p>
    <w:p>
      <w:pPr>
        <w:jc w:val="left"/>
      </w:pPr>
      <w:r>
        <w:rPr>
          <w:b/>
        </w:rPr>
        <w:t>C. Antrag Einstellung §§ 153, 153a StPO:</w:t>
      </w:r>
    </w:p>
    <w:p>
      <w:pPr>
        <w:pStyle w:val="ListBullet"/>
      </w:pPr>
      <w:r>
        <w:t>Primär: Einstellung ohne Auflagen (§ 153 StPO)</w:t>
      </w:r>
    </w:p>
    <w:p>
      <w:pPr>
        <w:pStyle w:val="ListBullet"/>
      </w:pPr>
      <w:r>
        <w:t>Hilfsweise: Einstellung gegen Geldauflage (§ 153a StPO), z.B. 500 EUR an karitative Einrichtung</w:t>
      </w:r>
    </w:p>
    <w:p>
      <w:pPr>
        <w:pStyle w:val="ListBullet"/>
      </w:pPr>
      <w:r>
        <w:t>Weiterhilfsweise: Beschränkter Freispruch zu Tat 2</w:t>
      </w:r>
    </w:p>
    <w:p/>
    <w:p>
      <w:pPr>
        <w:pStyle w:val="Heading2"/>
      </w:pPr>
      <w:r>
        <w:rPr>
          <w:rFonts w:ascii="Times New Roman" w:hAnsi="Times New Roman"/>
        </w:rPr>
        <w:t>Phase 5 – Letzte Worte und Urteilsverkündung (ca. 12:00–12:30 Uhr)</w:t>
      </w:r>
    </w:p>
    <w:p>
      <w:pPr>
        <w:pStyle w:val="ListBullet"/>
      </w:pPr>
      <w:r>
        <w:rPr>
          <w:b/>
        </w:rPr>
        <w:t>Letztes Wort der Angeklagten:</w:t>
      </w:r>
      <w:r>
        <w:t xml:space="preserve"> Vorbereitung wichtig. Kurze, persönliche Erklärung: Bedauern, Entschuldigung, Bereitschaft zur Schadenswiedergutmachung. Keine Selbstbezichtigungen.</w:t>
      </w:r>
    </w:p>
    <w:p>
      <w:pPr>
        <w:pStyle w:val="ListBullet"/>
      </w:pPr>
      <w:r>
        <w:t>Urteilsverkündung: sofort oder Termin zur Verkündung</w:t>
      </w:r>
    </w:p>
    <w:p>
      <w:pPr>
        <w:pStyle w:val="ListBullet"/>
      </w:pPr>
      <w:r>
        <w:t>Bei ungünstigem Urteil: sofortige Prüfung Berufung/Revision</w:t>
      </w:r>
    </w:p>
    <w:p/>
    <w:p>
      <w:pPr>
        <w:pStyle w:val="Heading2"/>
      </w:pPr>
      <w:r>
        <w:rPr>
          <w:rFonts w:ascii="Times New Roman" w:hAnsi="Times New Roman"/>
        </w:rPr>
        <w:t>Sonstiges / Checkliste Verhandlungstag</w:t>
      </w:r>
    </w:p>
    <w:p>
      <w:pPr>
        <w:pStyle w:val="ListBullet"/>
      </w:pPr>
      <w:r>
        <w:t>[ ] Vollmacht dabei (Original)</w:t>
      </w:r>
    </w:p>
    <w:p>
      <w:pPr>
        <w:pStyle w:val="ListBullet"/>
      </w:pPr>
      <w:r>
        <w:t>[ ] Einspruchsschriftsatz (Kopie)</w:t>
      </w:r>
    </w:p>
    <w:p>
      <w:pPr>
        <w:pStyle w:val="ListBullet"/>
      </w:pPr>
      <w:r>
        <w:t>[ ] Akteneinsicht vollständig ausgewertet</w:t>
      </w:r>
    </w:p>
    <w:p>
      <w:pPr>
        <w:pStyle w:val="ListBullet"/>
      </w:pPr>
      <w:r>
        <w:t>[ ] Einkommensbelege (Gehaltsabrechnungen, Kindergeldnachweis)</w:t>
      </w:r>
    </w:p>
    <w:p>
      <w:pPr>
        <w:pStyle w:val="ListBullet"/>
      </w:pPr>
      <w:r>
        <w:t>[ ] Schadensquittung Drogerie (falls Schadenspauschale bezahlt)</w:t>
      </w:r>
    </w:p>
    <w:p>
      <w:pPr>
        <w:pStyle w:val="ListBullet"/>
      </w:pPr>
      <w:r>
        <w:t>[ ] Fragenkatalog Zeugen (Datei 14)</w:t>
      </w:r>
    </w:p>
    <w:p>
      <w:pPr>
        <w:pStyle w:val="ListBullet"/>
      </w:pPr>
      <w:r>
        <w:t>[ ] Robe und Ausweis RAK Düsseldorf</w:t>
      </w:r>
    </w:p>
    <w:p>
      <w:pPr>
        <w:pStyle w:val="ListBullet"/>
      </w:pPr>
      <w:r>
        <w:t>[ ] Mandantin: Terminbestätigung, Kleidung, Kindbetreuung sichergestellt</w:t>
      </w:r>
    </w:p>
    <w:p/>
    <w:p>
      <w:pPr>
        <w:jc w:val="left"/>
      </w:pPr>
      <w:r>
        <w:rPr>
          <w:i/>
        </w:rPr>
        <w:t>Verhandlungsplan Stand: 15.06.2026 – vorbehaltlich der Verhandlungsentwicklung</w:t>
      </w:r>
    </w:p>
    <w:p>
      <w:pPr>
        <w:jc w:val="left"/>
      </w:pPr>
      <w:r>
        <w:rPr>
          <w:i/>
        </w:rPr>
        <w:t>RAin Petra Mertens, Kanzlei Mertens &amp; Partner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