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Zeugenbefragung – Vollständiger Fragenkatalog (mind. 30 Fragen)</w:t>
      </w:r>
    </w:p>
    <w:p>
      <w:pPr>
        <w:ind w:left="567"/>
      </w:pPr>
      <w:r>
        <w:rPr>
          <w:b/>
          <w:i/>
        </w:rPr>
        <w:t>Kanzlei Mertens &amp; Partner, Rechtsanwälte</w:t>
      </w:r>
    </w:p>
    <w:p>
      <w:pPr>
        <w:ind w:left="567"/>
      </w:pPr>
      <w:r>
        <w:rPr>
          <w:i/>
        </w:rPr>
        <w:t>Verteidigung Samira Albrecht – Az. 126 Cs 402 Js 1182/26</w:t>
      </w:r>
    </w:p>
    <w:p>
      <w:pPr>
        <w:ind w:left="567"/>
      </w:pPr>
      <w:r>
        <w:rPr>
          <w:i/>
        </w:rPr>
        <w:t>Verfasser: RAin Petra Mertens</w:t>
      </w:r>
    </w:p>
    <w:p>
      <w:pPr>
        <w:ind w:left="567"/>
      </w:pPr>
      <w:r>
        <w:rPr>
          <w:i/>
        </w:rPr>
        <w:t>Datum: 15. Juni 2026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 xml:space="preserve">Dieser Fragenkatalog dient der strukturierten Vorbereitung der Zeugenbefragungen in der Hauptverhandlung. Die Fragen sind nach Zeugen gegliedert und nach taktischer Priorität geordnet. Fragen, die primär Strafmilderungsgesichtspunkte sichern sollen, sind mit </w:t>
      </w:r>
      <w:r>
        <w:rPr>
          <w:b/>
        </w:rPr>
        <w:t>[SM]</w:t>
      </w:r>
      <w:r>
        <w:t xml:space="preserve"> markiert. Fragen, die auf Entlastung abzielen, mit </w:t>
      </w:r>
      <w:r>
        <w:rPr>
          <w:b/>
        </w:rPr>
        <w:t>[E]</w:t>
      </w:r>
      <w:r>
        <w:t xml:space="preserve">. Fragen zur Glaubwürdigkeitsprüfung mit </w:t>
      </w:r>
      <w:r>
        <w:rPr>
          <w:b/>
        </w:rPr>
        <w:t>[G]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Teil A – Fragenkatalog: Erik Neumann (Ladendetektiv)</w:t>
      </w:r>
    </w:p>
    <w:p>
      <w:pPr>
        <w:pStyle w:val="Heading3"/>
      </w:pPr>
      <w:r>
        <w:rPr>
          <w:rFonts w:ascii="Times New Roman" w:hAnsi="Times New Roman"/>
        </w:rPr>
        <w:t>Grundlagen / Qualifikation</w:t>
      </w:r>
    </w:p>
    <w:p>
      <w:pPr>
        <w:pStyle w:val="ListNumber"/>
      </w:pPr>
      <w:r>
        <w:rPr>
          <w:b/>
        </w:rPr>
        <w:t>[G]</w:t>
      </w:r>
      <w:r>
        <w:t xml:space="preserve"> Wie lange sind Sie bereits als Ladendetektiv tätig, und welche Ausbildung haben Sie absolviert?</w:t>
      </w:r>
    </w:p>
    <w:p>
      <w:pPr>
        <w:pStyle w:val="ListNumber"/>
      </w:pPr>
      <w:r>
        <w:rPr>
          <w:b/>
        </w:rPr>
        <w:t>[G]</w:t>
      </w:r>
      <w:r>
        <w:t xml:space="preserve"> Sind Sie fest bei der Firma ProSec angestellt, oder werden Sie auf Werkvertragsbasis eingesetzt?</w:t>
      </w:r>
    </w:p>
    <w:p>
      <w:pPr>
        <w:pStyle w:val="ListNumber"/>
      </w:pPr>
      <w:r>
        <w:rPr>
          <w:b/>
        </w:rPr>
        <w:t>[G]</w:t>
      </w:r>
      <w:r>
        <w:t xml:space="preserve"> Wie viele Stunden hatten Sie an dem fraglichen Tag zum Zeitpunkt der Beobachtung bereits gearbeitet?</w:t>
      </w:r>
    </w:p>
    <w:p>
      <w:pPr>
        <w:pStyle w:val="ListNumber"/>
      </w:pPr>
      <w:r>
        <w:rPr>
          <w:b/>
        </w:rPr>
        <w:t>[G]</w:t>
      </w:r>
      <w:r>
        <w:t xml:space="preserve"> Sind Sie in der Beobachtung von Ladenpersonal oder Detektionskollegen an dem Tag begleitet worden, oder arbeiteten Sie alleine?</w:t>
      </w:r>
    </w:p>
    <w:p>
      <w:pPr>
        <w:pStyle w:val="Heading3"/>
      </w:pPr>
      <w:r>
        <w:rPr>
          <w:rFonts w:ascii="Times New Roman" w:hAnsi="Times New Roman"/>
        </w:rPr>
        <w:t>Beobachtungsposition und Sicht</w:t>
      </w:r>
    </w:p>
    <w:p>
      <w:pPr>
        <w:pStyle w:val="ListNumber"/>
      </w:pPr>
      <w:r>
        <w:rPr>
          <w:b/>
        </w:rPr>
        <w:t>[E]</w:t>
      </w:r>
      <w:r>
        <w:t xml:space="preserve"> Können Sie uns Ihre genaue Standposition im Ladenlokal zum Zeitpunkt der Beobachtung beschreiben – wie weit entfernt von der Angeklagten, auf gleicher Höhe oder erhöht?</w:t>
      </w:r>
    </w:p>
    <w:p>
      <w:pPr>
        <w:pStyle w:val="ListNumber"/>
      </w:pPr>
      <w:r>
        <w:rPr>
          <w:b/>
        </w:rPr>
        <w:t>[E]</w:t>
      </w:r>
      <w:r>
        <w:t xml:space="preserve"> Gab es Regale, andere Kunden oder Einrichtungsgegenstände, die Ihre Sichtlinie zeitweise einschränkten?</w:t>
      </w:r>
    </w:p>
    <w:p>
      <w:pPr>
        <w:pStyle w:val="ListNumber"/>
      </w:pPr>
      <w:r>
        <w:rPr>
          <w:b/>
        </w:rPr>
        <w:t>[E]</w:t>
      </w:r>
      <w:r>
        <w:t xml:space="preserve"> Sie haben in Ihrer Vernehmung (Bl. 9 d. A.) angegeben, es habe eine Sichtunterbrechung von ca. 15–20 Sekunden gegeben. Was genau war in dieser Zeit </w:t>
      </w:r>
      <w:r>
        <w:rPr>
          <w:b/>
        </w:rPr>
        <w:t>nicht</w:t>
      </w:r>
      <w:r>
        <w:t xml:space="preserve"> sichtbar?</w:t>
      </w:r>
    </w:p>
    <w:p>
      <w:pPr>
        <w:pStyle w:val="ListNumber"/>
      </w:pPr>
      <w:r>
        <w:rPr>
          <w:b/>
        </w:rPr>
        <w:t>[E]</w:t>
      </w:r>
      <w:r>
        <w:t xml:space="preserve"> Können Sie ausschließen, dass die Artikel, die später in der Manteltasche der Angeklagten gefunden wurden, bereits vor Ihrer Beobachtungszeit dort waren?</w:t>
      </w:r>
    </w:p>
    <w:p>
      <w:pPr>
        <w:pStyle w:val="ListNumber"/>
      </w:pPr>
      <w:r>
        <w:rPr>
          <w:b/>
        </w:rPr>
        <w:t>[E]</w:t>
      </w:r>
      <w:r>
        <w:t xml:space="preserve"> Haben Sie die Angeklagte vom Moment ihres Eintretens in das Ladenlokal an lückenlos beobachtet, oder war sie bereits im Geschäft, als Sie auf sie aufmerksam wurden?</w:t>
      </w:r>
    </w:p>
    <w:p>
      <w:pPr>
        <w:pStyle w:val="ListNumber"/>
      </w:pPr>
      <w:r>
        <w:rPr>
          <w:b/>
        </w:rPr>
        <w:t>[E]</w:t>
      </w:r>
      <w:r>
        <w:t xml:space="preserve"> Wie war die Beleuchtungssituation im Regalgang Kosmetik an diesem Nachmittag?</w:t>
      </w:r>
    </w:p>
    <w:p>
      <w:pPr>
        <w:pStyle w:val="Heading3"/>
      </w:pPr>
      <w:r>
        <w:rPr>
          <w:rFonts w:ascii="Times New Roman" w:hAnsi="Times New Roman"/>
        </w:rPr>
        <w:t>Tathandlung / Vorsatz</w:t>
      </w:r>
    </w:p>
    <w:p>
      <w:pPr>
        <w:pStyle w:val="ListNumber"/>
      </w:pPr>
      <w:r>
        <w:rPr>
          <w:b/>
        </w:rPr>
        <w:t>[E]</w:t>
      </w:r>
      <w:r>
        <w:t xml:space="preserve"> War das Mobiltelefon der Angeklagten während der Zeit, als sie Artikel betrachtete, in Benutzung?</w:t>
      </w:r>
    </w:p>
    <w:p>
      <w:pPr>
        <w:pStyle w:val="ListNumber"/>
      </w:pPr>
      <w:r>
        <w:rPr>
          <w:b/>
        </w:rPr>
        <w:t>[E]</w:t>
      </w:r>
      <w:r>
        <w:t xml:space="preserve"> Hätte es nach Ihrer Einschätzung eine Möglichkeit gegeben, dass jemand in Gedanken oder in einer abgelenkten Situation unbewusst Artikel in einer Tasche verstaut?</w:t>
      </w:r>
    </w:p>
    <w:p>
      <w:pPr>
        <w:pStyle w:val="ListNumber"/>
      </w:pPr>
      <w:r>
        <w:rPr>
          <w:b/>
        </w:rPr>
        <w:t>[G]</w:t>
      </w:r>
      <w:r>
        <w:t xml:space="preserve"> Haben Sie in Ihrer Tätigkeit bereits Fälle erlebt, in denen Personen Waren versehentlich oder in Ablenkungssituationen einsteckten und das nicht vorsätzlich taten?</w:t>
      </w:r>
    </w:p>
    <w:p>
      <w:pPr>
        <w:pStyle w:val="ListNumber"/>
      </w:pPr>
      <w:r>
        <w:rPr>
          <w:b/>
        </w:rPr>
        <w:t>[E]</w:t>
      </w:r>
      <w:r>
        <w:t xml:space="preserve"> Sie berichteten, die Angeklagte habe sich beim Einstecken "umgeschaut". Kann dieses Umschauen nicht auch damit zusammenhängen, dass sie ihr Kind oder eine andere Person suchte?</w:t>
      </w:r>
    </w:p>
    <w:p>
      <w:pPr>
        <w:pStyle w:val="Heading3"/>
      </w:pPr>
      <w:r>
        <w:rPr>
          <w:rFonts w:ascii="Times New Roman" w:hAnsi="Times New Roman"/>
        </w:rPr>
        <w:t>Reaktion der Angeklagten</w:t>
      </w:r>
    </w:p>
    <w:p>
      <w:pPr>
        <w:pStyle w:val="ListNumber"/>
      </w:pPr>
      <w:r>
        <w:rPr>
          <w:b/>
        </w:rPr>
        <w:t>[SM]</w:t>
      </w:r>
      <w:r>
        <w:t xml:space="preserve"> Wie reagierte die Angeklagte, als Sie sie ansprachen?</w:t>
      </w:r>
    </w:p>
    <w:p>
      <w:pPr>
        <w:pStyle w:val="ListNumber"/>
      </w:pPr>
      <w:r>
        <w:rPr>
          <w:b/>
        </w:rPr>
        <w:t>[SM]</w:t>
      </w:r>
      <w:r>
        <w:t xml:space="preserve"> Hat sie sofort kooperiert oder hat sie zunächst geleugnet oder Widerstand geleistet?</w:t>
      </w:r>
    </w:p>
    <w:p>
      <w:pPr>
        <w:pStyle w:val="ListNumber"/>
      </w:pPr>
      <w:r>
        <w:rPr>
          <w:b/>
        </w:rPr>
        <w:t>[SM]</w:t>
      </w:r>
      <w:r>
        <w:t xml:space="preserve"> Wie würden Sie ihre Entschuldigung beschreiben – wirkten ihre Reue und Erschrockenheit aufrichtig?</w:t>
      </w:r>
    </w:p>
    <w:p>
      <w:pPr>
        <w:pStyle w:val="ListNumber"/>
      </w:pPr>
      <w:r>
        <w:rPr>
          <w:b/>
        </w:rPr>
        <w:t>[SM]</w:t>
      </w:r>
      <w:r>
        <w:t xml:space="preserve"> Hat sie die Ware vollständig und ohne Aufforderung zurückgegeben?</w:t>
      </w:r>
    </w:p>
    <w:p>
      <w:pPr>
        <w:pStyle w:val="ListNumber"/>
      </w:pPr>
      <w:r>
        <w:rPr>
          <w:b/>
        </w:rPr>
        <w:t>[SM]</w:t>
      </w:r>
      <w:r>
        <w:t xml:space="preserve"> Hat die Angeklagte nach Ihrer Einschätzung ein erneutes Auftreten als Ladendieb oder eine professionelle Vorgehensweise gezeigt?</w:t>
      </w:r>
    </w:p>
    <w:p>
      <w:pPr>
        <w:pStyle w:val="Heading3"/>
      </w:pPr>
      <w:r>
        <w:rPr>
          <w:rFonts w:ascii="Times New Roman" w:hAnsi="Times New Roman"/>
        </w:rPr>
        <w:t>Videomaterial</w:t>
      </w:r>
    </w:p>
    <w:p>
      <w:pPr>
        <w:pStyle w:val="ListNumber"/>
      </w:pPr>
      <w:r>
        <w:rPr>
          <w:b/>
        </w:rPr>
        <w:t>[E]</w:t>
      </w:r>
      <w:r>
        <w:t xml:space="preserve"> Sie haben den Vorgang in Ihrem Bericht als auf Video erkennbar beschrieben. Haben Sie die Originalvideodatei selbst vollständig gesichtet?</w:t>
      </w:r>
    </w:p>
    <w:p>
      <w:pPr>
        <w:pStyle w:val="ListNumber"/>
      </w:pPr>
      <w:r>
        <w:rPr>
          <w:b/>
        </w:rPr>
        <w:t>[E]</w:t>
      </w:r>
      <w:r>
        <w:t xml:space="preserve"> War das auf dem Video zu sehende Bild ausreichend scharf, um zweifelsfrei das Einstecken der Waren zu erkennen?</w:t>
      </w:r>
    </w:p>
    <w:p>
      <w:pPr>
        <w:pStyle w:val="ListNumber"/>
      </w:pPr>
      <w:r>
        <w:rPr>
          <w:b/>
        </w:rPr>
        <w:t>[E]</w:t>
      </w:r>
      <w:r>
        <w:t xml:space="preserve"> Ist auf dem Video zu erkennen, in welche Tasche die Artikel gesteckt wurden?</w:t>
      </w:r>
    </w:p>
    <w:p/>
    <w:p>
      <w:pPr>
        <w:pStyle w:val="Heading2"/>
      </w:pPr>
      <w:r>
        <w:rPr>
          <w:rFonts w:ascii="Times New Roman" w:hAnsi="Times New Roman"/>
        </w:rPr>
        <w:t>Teil B – Fragenkatalog: PHK'in Monika König (Polizei KK 32)</w:t>
      </w:r>
    </w:p>
    <w:p>
      <w:pPr>
        <w:pStyle w:val="Heading3"/>
      </w:pPr>
      <w:r>
        <w:rPr>
          <w:rFonts w:ascii="Times New Roman" w:hAnsi="Times New Roman"/>
        </w:rPr>
        <w:t>Vernehmungssituation</w:t>
      </w:r>
    </w:p>
    <w:p>
      <w:pPr>
        <w:pStyle w:val="ListNumber"/>
      </w:pPr>
      <w:r>
        <w:rPr>
          <w:b/>
        </w:rPr>
        <w:t>[G]</w:t>
      </w:r>
      <w:r>
        <w:t xml:space="preserve"> Haben Sie die Angeklagte am Tatort oder auf dem Polizeipräsidium vernommen?</w:t>
      </w:r>
    </w:p>
    <w:p>
      <w:pPr>
        <w:pStyle w:val="ListNumber"/>
      </w:pPr>
      <w:r>
        <w:rPr>
          <w:b/>
        </w:rPr>
        <w:t>[G]</w:t>
      </w:r>
      <w:r>
        <w:t xml:space="preserve"> Zu welcher Uhrzeit begann die Vernehmung, und wie lange dauerte sie?</w:t>
      </w:r>
    </w:p>
    <w:p>
      <w:pPr>
        <w:pStyle w:val="ListNumber"/>
      </w:pPr>
      <w:r>
        <w:rPr>
          <w:b/>
        </w:rPr>
        <w:t>[G]</w:t>
      </w:r>
      <w:r>
        <w:t xml:space="preserve"> In welchem emotionalen Zustand befand sich die Angeklagte bei der Belehrung?</w:t>
      </w:r>
    </w:p>
    <w:p>
      <w:pPr>
        <w:pStyle w:val="Heading3"/>
      </w:pPr>
      <w:r>
        <w:rPr>
          <w:rFonts w:ascii="Times New Roman" w:hAnsi="Times New Roman"/>
        </w:rPr>
        <w:t>Belehrung und Aussage</w:t>
      </w:r>
    </w:p>
    <w:p>
      <w:pPr>
        <w:pStyle w:val="ListNumber"/>
      </w:pPr>
      <w:r>
        <w:rPr>
          <w:b/>
        </w:rPr>
        <w:t>[E]</w:t>
      </w:r>
      <w:r>
        <w:t xml:space="preserve"> Wurde die Angeklagte vollständig und verständlich über ihr Schweigerecht belehrt (§ 136 Abs. 1 StPO)?</w:t>
      </w:r>
    </w:p>
    <w:p>
      <w:pPr>
        <w:pStyle w:val="ListNumber"/>
      </w:pPr>
      <w:r>
        <w:rPr>
          <w:b/>
        </w:rPr>
        <w:t>[E]</w:t>
      </w:r>
      <w:r>
        <w:t xml:space="preserve"> Hatte die Angeklagte die Möglichkeit, vor der Vernehmung einen Anwalt zu kontaktieren?</w:t>
      </w:r>
    </w:p>
    <w:p>
      <w:pPr>
        <w:pStyle w:val="ListNumber"/>
      </w:pPr>
      <w:r>
        <w:rPr>
          <w:b/>
        </w:rPr>
        <w:t>[E]</w:t>
      </w:r>
      <w:r>
        <w:t xml:space="preserve"> Ist die Äußerung der Angeklagten "Ich habe das nicht so gewollt" ausdrücklich als Geständnis protokolliert worden, oder als nicht weiter erläuterte Spontanäußerung?</w:t>
      </w:r>
    </w:p>
    <w:p>
      <w:pPr>
        <w:pStyle w:val="Heading3"/>
      </w:pPr>
      <w:r>
        <w:rPr>
          <w:rFonts w:ascii="Times New Roman" w:hAnsi="Times New Roman"/>
        </w:rPr>
        <w:t>Videoauswertung</w:t>
      </w:r>
    </w:p>
    <w:p>
      <w:pPr>
        <w:pStyle w:val="ListNumber"/>
      </w:pPr>
      <w:r>
        <w:rPr>
          <w:b/>
        </w:rPr>
        <w:t>[E]</w:t>
      </w:r>
      <w:r>
        <w:t xml:space="preserve"> Haben Sie die Originalvideodatei der Drogerie vollständig gesichtet, oder nur Standbilder?</w:t>
      </w:r>
    </w:p>
    <w:p>
      <w:pPr>
        <w:pStyle w:val="ListNumber"/>
      </w:pPr>
      <w:r>
        <w:rPr>
          <w:b/>
        </w:rPr>
        <w:t>[E]</w:t>
      </w:r>
      <w:r>
        <w:t xml:space="preserve"> War auf dem Video in der Originalauflösung der Einsteckvorgang eindeutig erkennbar – also ohne jeden Zweifel?</w:t>
      </w:r>
    </w:p>
    <w:p>
      <w:pPr>
        <w:pStyle w:val="ListNumber"/>
      </w:pPr>
      <w:r>
        <w:rPr>
          <w:b/>
        </w:rPr>
        <w:t>[E]</w:t>
      </w:r>
      <w:r>
        <w:t xml:space="preserve"> Können Sie mit Sicherheit sagen, welche der auf den Lichtbildern erkennbaren Bewegungen der Angeklagten das Einstecken der Ware darstellten?</w:t>
      </w:r>
    </w:p>
    <w:p>
      <w:pPr>
        <w:pStyle w:val="Heading3"/>
      </w:pPr>
      <w:r>
        <w:rPr>
          <w:rFonts w:ascii="Times New Roman" w:hAnsi="Times New Roman"/>
        </w:rPr>
        <w:t>§ 142 StGB – Unfallermittlung</w:t>
      </w:r>
    </w:p>
    <w:p>
      <w:pPr>
        <w:pStyle w:val="ListNumber"/>
      </w:pPr>
      <w:r>
        <w:rPr>
          <w:b/>
        </w:rPr>
        <w:t>[E]</w:t>
      </w:r>
      <w:r>
        <w:t xml:space="preserve"> Haben Sie das Parkhaus selbst aufgesucht oder die Ermittlungen von KVD 6 nur übernommen?</w:t>
      </w:r>
    </w:p>
    <w:p>
      <w:pPr>
        <w:pStyle w:val="ListNumber"/>
      </w:pPr>
      <w:r>
        <w:rPr>
          <w:b/>
        </w:rPr>
        <w:t>[E]</w:t>
      </w:r>
      <w:r>
        <w:t xml:space="preserve"> Ist auf dem Parkhausvideo der Moment des Kontakts der Fahrzeuge eindeutig erkennbar?</w:t>
      </w:r>
    </w:p>
    <w:p>
      <w:pPr>
        <w:pStyle w:val="ListNumber"/>
      </w:pPr>
      <w:r>
        <w:rPr>
          <w:b/>
        </w:rPr>
        <w:t>[E]</w:t>
      </w:r>
      <w:r>
        <w:t xml:space="preserve"> Gibt es Zeugen, die den Unfall beobachtet haben und die Angeklagte am Steuer identifizierten?</w:t>
      </w:r>
    </w:p>
    <w:p>
      <w:pPr>
        <w:pStyle w:val="ListNumber"/>
      </w:pPr>
      <w:r>
        <w:rPr>
          <w:b/>
        </w:rPr>
        <w:t>[E]</w:t>
      </w:r>
      <w:r>
        <w:t xml:space="preserve"> Auf welcher Grundlage wurden die Fahrerinnen identifiziert – lediglich über die Halterfeststellung beim KBA?</w:t>
      </w:r>
    </w:p>
    <w:p>
      <w:pPr>
        <w:pStyle w:val="ListNumber"/>
      </w:pPr>
      <w:r>
        <w:rPr>
          <w:b/>
        </w:rPr>
        <w:t>[E]</w:t>
      </w:r>
      <w:r>
        <w:t xml:space="preserve"> Gibt es irgendein Beweismittel dafür, dass die Angeklagte den Kontakt wahrgenommen hat?</w:t>
      </w:r>
    </w:p>
    <w:p/>
    <w:p>
      <w:pPr>
        <w:pStyle w:val="Heading2"/>
      </w:pPr>
      <w:r>
        <w:rPr>
          <w:rFonts w:ascii="Times New Roman" w:hAnsi="Times New Roman"/>
        </w:rPr>
        <w:t>Teil C – Fragenkatalog: Martina Fröhlich (Geschädigte, § 142 StGB) – falls geladen</w:t>
      </w:r>
    </w:p>
    <w:p>
      <w:pPr>
        <w:pStyle w:val="ListNumber"/>
      </w:pPr>
      <w:r>
        <w:rPr>
          <w:b/>
        </w:rPr>
        <w:t>[E]</w:t>
      </w:r>
      <w:r>
        <w:t xml:space="preserve"> War Sie zum Zeitpunkt des behaupteten Unfalls selbst auf dem Parkdeck anwesend?</w:t>
      </w:r>
    </w:p>
    <w:p>
      <w:pPr>
        <w:pStyle w:val="ListNumber"/>
      </w:pPr>
      <w:r>
        <w:rPr>
          <w:b/>
        </w:rPr>
        <w:t>[E]</w:t>
      </w:r>
      <w:r>
        <w:t xml:space="preserve"> Hat sie den Kontakt der Fahrzeuge selbst wahrgenommen oder erst später die Beschädigung bemerkt?</w:t>
      </w:r>
    </w:p>
    <w:p>
      <w:pPr>
        <w:pStyle w:val="ListNumber"/>
      </w:pPr>
      <w:r>
        <w:rPr>
          <w:b/>
        </w:rPr>
        <w:t>[E]</w:t>
      </w:r>
      <w:r>
        <w:t xml:space="preserve"> Wann genau hat sie die Beschädigung an ihrem Fahrzeug festgestellt?</w:t>
      </w:r>
    </w:p>
    <w:p>
      <w:pPr>
        <w:pStyle w:val="ListNumber"/>
      </w:pPr>
      <w:r>
        <w:rPr>
          <w:b/>
        </w:rPr>
        <w:t>[G]</w:t>
      </w:r>
      <w:r>
        <w:t xml:space="preserve"> Gab es vor dem behaupteten Unfall bereits Beschädigungen an der Stoßstange ihres Fahrzeugs?</w:t>
      </w:r>
    </w:p>
    <w:p>
      <w:pPr>
        <w:pStyle w:val="ListNumber"/>
      </w:pPr>
      <w:r>
        <w:rPr>
          <w:b/>
        </w:rPr>
        <w:t>[E]</w:t>
      </w:r>
      <w:r>
        <w:t xml:space="preserve"> Auf welcher Grundlage wurde die Schadenshöhe von 1.180 EUR ermittelt – ein Gutachten oder nur ein Kostenvoranschlag?</w:t>
      </w:r>
    </w:p>
    <w:p>
      <w:pPr>
        <w:pStyle w:val="ListNumber"/>
      </w:pPr>
      <w:r>
        <w:rPr>
          <w:b/>
        </w:rPr>
        <w:t>[E]</w:t>
      </w:r>
      <w:r>
        <w:t xml:space="preserve"> Wurde das Fahrzeug tatsächlich repariert, und zu welchem Endpreis?</w:t>
      </w:r>
    </w:p>
    <w:p>
      <w:pPr>
        <w:pStyle w:val="ListNumber"/>
      </w:pPr>
      <w:r>
        <w:rPr>
          <w:b/>
        </w:rPr>
        <w:t>[E]</w:t>
      </w:r>
      <w:r>
        <w:t xml:space="preserve"> Hat die Zeugin Fotos vom Schadensbereich gemacht, und wenn ja, vor oder nach dem angeblichen Kontakt?</w:t>
      </w:r>
    </w:p>
    <w:p/>
    <w:p>
      <w:pPr>
        <w:pStyle w:val="Heading2"/>
      </w:pPr>
      <w:r>
        <w:rPr>
          <w:rFonts w:ascii="Times New Roman" w:hAnsi="Times New Roman"/>
        </w:rPr>
        <w:t>Taktische Hinweise zur Befragung</w:t>
      </w:r>
    </w:p>
    <w:p>
      <w:pPr>
        <w:pStyle w:val="ListBullet"/>
      </w:pPr>
      <w:r>
        <w:t xml:space="preserve">Fragen </w:t>
      </w:r>
      <w:r>
        <w:rPr>
          <w:b/>
        </w:rPr>
        <w:t>kurz und klar</w:t>
      </w:r>
      <w:r>
        <w:t xml:space="preserve"> formulieren – keine Mehrfachfragen.</w:t>
      </w:r>
    </w:p>
    <w:p>
      <w:pPr>
        <w:pStyle w:val="ListBullet"/>
      </w:pPr>
      <w:r>
        <w:t xml:space="preserve">Bei günstigen Antworten: </w:t>
      </w:r>
      <w:r>
        <w:rPr>
          <w:b/>
        </w:rPr>
        <w:t>sofort nachhaken</w:t>
      </w:r>
      <w:r>
        <w:t xml:space="preserve"> und in das Protokoll aufnehmen lassen.</w:t>
      </w:r>
    </w:p>
    <w:p>
      <w:pPr>
        <w:pStyle w:val="ListBullet"/>
      </w:pPr>
      <w:r>
        <w:t xml:space="preserve">Bei ungünstigen Antworten: </w:t>
      </w:r>
      <w:r>
        <w:rPr>
          <w:b/>
        </w:rPr>
        <w:t>nicht eskalieren</w:t>
      </w:r>
      <w:r>
        <w:t>, Themenwechsel.</w:t>
      </w:r>
    </w:p>
    <w:p>
      <w:pPr>
        <w:pStyle w:val="ListBullet"/>
      </w:pPr>
      <w:r>
        <w:t>Alle Antworten, die Rückgabe / Entschuldigung / keine Professionalität bestätigen: als Strafmilderung für Plädoyer verwenden.</w:t>
      </w:r>
    </w:p>
    <w:p>
      <w:pPr>
        <w:pStyle w:val="ListBullet"/>
      </w:pPr>
      <w:r>
        <w:t>Sichtlücke Neumann (Fragen 7–8): Kernargument für Zweifel am Vorsatz.</w:t>
      </w:r>
    </w:p>
    <w:p>
      <w:pPr>
        <w:pStyle w:val="ListBullet"/>
      </w:pPr>
      <w:r>
        <w:t>Videoqualität (Fragen 20–22, 29–31): Grundlage für Beweisantrag auf Inaugenscheinnahme der Originalvideodatei in der Hauptverhandlung.</w:t>
      </w:r>
    </w:p>
    <w:p/>
    <w:p>
      <w:pPr>
        <w:jc w:val="left"/>
      </w:pPr>
      <w:r>
        <w:rPr>
          <w:i/>
        </w:rPr>
        <w:t>Fragenkatalog erstellt: RAin Petra Mertens, 15.06.2026</w:t>
      </w:r>
    </w:p>
    <w:p>
      <w:pPr>
        <w:jc w:val="left"/>
      </w:pPr>
      <w:r>
        <w:rPr>
          <w:i/>
        </w:rPr>
        <w:t>Aktenablage: M&amp;P/2026/STR-0047/HV-Vorbereitung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