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Einstellungsstrategie – §§ 153, 153a StPO</w:t>
      </w:r>
    </w:p>
    <w:p>
      <w:pPr>
        <w:ind w:left="567"/>
      </w:pPr>
      <w:r>
        <w:rPr>
          <w:b/>
          <w:i/>
        </w:rPr>
        <w:t>Kanzlei Mertens &amp; Partner, Rechtsanwälte</w:t>
      </w:r>
    </w:p>
    <w:p>
      <w:pPr>
        <w:ind w:left="567"/>
      </w:pPr>
      <w:r>
        <w:rPr>
          <w:i/>
        </w:rPr>
        <w:t>Strategiepapier – intern, vertraulich</w:t>
      </w:r>
    </w:p>
    <w:p>
      <w:pPr>
        <w:ind w:left="567"/>
      </w:pPr>
      <w:r>
        <w:rPr>
          <w:i/>
        </w:rPr>
        <w:t>Az.: 126 Cs 402 Js 1182/26 / M&amp;P/2026/STR-0047</w:t>
      </w:r>
    </w:p>
    <w:p>
      <w:pPr>
        <w:ind w:left="567"/>
      </w:pPr>
      <w:r>
        <w:rPr>
          <w:i/>
        </w:rPr>
        <w:t>Verfasser: RAin Petra Mertens</w:t>
      </w:r>
    </w:p>
    <w:p>
      <w:pPr>
        <w:ind w:left="567"/>
      </w:pPr>
      <w:r>
        <w:rPr>
          <w:i/>
        </w:rPr>
        <w:t>Datum: 26. Mai 2026 (Erstfassung); ergänzt 15.06.2026 nach Akteneinsicht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 xml:space="preserve">In der Strafsache gegen </w:t>
      </w:r>
      <w:r>
        <w:rPr>
          <w:b/>
        </w:rPr>
        <w:t>Samira Albrecht</w:t>
      </w:r>
      <w:r>
        <w:t xml:space="preserve"> wurde Einspruch gegen den Strafbefehl vom 08.05.2026 (60 Tagessätze à 55 EUR + 1 Monat Fahrverbot) eingelegt. Das Verfahren geht nunmehr in die Hauptverhandlung. Ziel der Verteidigung ist die Einstellung des Verfahrens, zumindest in wesentlichen Teilen, vor oder in der Verhandlung.</w:t>
      </w:r>
    </w:p>
    <w:p>
      <w:pPr>
        <w:jc w:val="left"/>
      </w:pPr>
      <w:r>
        <w:t>Dieses Strategiepapier analysiert die Voraussetzungen, Erfolgsaussichten und die optimale Vorgehensweise für eine Einstellung nach §§ 153, 153a StPO, ggf. auch nach § 153b StPO.</w:t>
      </w:r>
    </w:p>
    <w:p/>
    <w:p>
      <w:pPr>
        <w:pStyle w:val="Heading2"/>
      </w:pPr>
      <w:r>
        <w:rPr>
          <w:rFonts w:ascii="Times New Roman" w:hAnsi="Times New Roman"/>
        </w:rPr>
        <w:t>2. Rechtsgrundlagen</w:t>
      </w:r>
    </w:p>
    <w:p>
      <w:pPr>
        <w:pStyle w:val="Heading3"/>
      </w:pPr>
      <w:r>
        <w:rPr>
          <w:rFonts w:ascii="Times New Roman" w:hAnsi="Times New Roman"/>
        </w:rPr>
        <w:t>§ 153 StPO – Einstellung wegen Geringfügigkeit (ohne Auflagen)</w:t>
      </w:r>
    </w:p>
    <w:p>
      <w:pPr>
        <w:jc w:val="left"/>
      </w:pPr>
      <w:r>
        <w:rPr>
          <w:b/>
        </w:rPr>
        <w:t>Voraussetzungen:</w:t>
      </w:r>
    </w:p>
    <w:p>
      <w:pPr>
        <w:pStyle w:val="ListBullet"/>
      </w:pPr>
      <w:r>
        <w:t>Vergehen (kein Verbrechen)</w:t>
      </w:r>
    </w:p>
    <w:p>
      <w:pPr>
        <w:pStyle w:val="ListBullet"/>
      </w:pPr>
      <w:r>
        <w:t>Schuld des Täters wäre als gering anzusehen</w:t>
      </w:r>
    </w:p>
    <w:p>
      <w:pPr>
        <w:pStyle w:val="ListBullet"/>
      </w:pPr>
      <w:r>
        <w:t>Kein öffentliches Interesse an der Strafverfolgung</w:t>
      </w:r>
    </w:p>
    <w:p>
      <w:pPr>
        <w:pStyle w:val="ListBullet"/>
      </w:pPr>
      <w:r>
        <w:t>Zustimmung des Beschuldigten und des Gerichts (nach Einspruch: Gericht entscheidet; StA kann zustimmen)</w:t>
      </w:r>
    </w:p>
    <w:p>
      <w:pPr>
        <w:jc w:val="left"/>
      </w:pPr>
      <w:r>
        <w:rPr>
          <w:b/>
        </w:rPr>
        <w:t>Keine Zustimmung der StA erforderlich</w:t>
      </w:r>
      <w:r>
        <w:t xml:space="preserve"> wenn:</w:t>
      </w:r>
    </w:p>
    <w:p>
      <w:pPr>
        <w:pStyle w:val="ListBullet"/>
      </w:pPr>
      <w:r>
        <w:t>Das Verfahren noch bei StA anhängig (§ 153 Abs. 1 StPO): StA allein</w:t>
      </w:r>
    </w:p>
    <w:p>
      <w:pPr>
        <w:pStyle w:val="ListBullet"/>
      </w:pPr>
      <w:r>
        <w:t xml:space="preserve">Im gerichtlichen Verfahren (nach Einspruch): StA </w:t>
      </w:r>
      <w:r>
        <w:rPr>
          <w:b/>
        </w:rPr>
        <w:t>und</w:t>
      </w:r>
      <w:r>
        <w:t xml:space="preserve"> Gericht müssen zustimmen (§ 153 Abs. 2 StPO)</w:t>
      </w:r>
    </w:p>
    <w:p/>
    <w:p>
      <w:pPr>
        <w:pStyle w:val="Heading3"/>
      </w:pPr>
      <w:r>
        <w:rPr>
          <w:rFonts w:ascii="Times New Roman" w:hAnsi="Times New Roman"/>
        </w:rPr>
        <w:t>§ 153a StPO – Einstellung gegen Auflagen</w:t>
      </w:r>
    </w:p>
    <w:p>
      <w:pPr>
        <w:jc w:val="left"/>
      </w:pPr>
      <w:r>
        <w:rPr>
          <w:b/>
        </w:rPr>
        <w:t>Voraussetzungen:</w:t>
      </w:r>
    </w:p>
    <w:p>
      <w:pPr>
        <w:pStyle w:val="ListBullet"/>
      </w:pPr>
      <w:r>
        <w:t>Vergehen</w:t>
      </w:r>
    </w:p>
    <w:p>
      <w:pPr>
        <w:pStyle w:val="ListBullet"/>
      </w:pPr>
      <w:r>
        <w:t>Schwere der Schuld steht einer Einstellung nicht entgegen</w:t>
      </w:r>
    </w:p>
    <w:p>
      <w:pPr>
        <w:pStyle w:val="ListBullet"/>
      </w:pPr>
      <w:r>
        <w:t>Öffentliches Interesse kann durch Auflagen befriedigt werden</w:t>
      </w:r>
    </w:p>
    <w:p>
      <w:pPr>
        <w:pStyle w:val="ListBullet"/>
      </w:pPr>
      <w:r>
        <w:t>Erfüllung der Auflagen durch Beschuldigten (innerhalb gesetzter Frist)</w:t>
      </w:r>
    </w:p>
    <w:p>
      <w:pPr>
        <w:pStyle w:val="ListBullet"/>
      </w:pPr>
      <w:r>
        <w:t>Zustimmung StA und Gericht (im gerichtlichen Verfahren)</w:t>
      </w:r>
    </w:p>
    <w:p>
      <w:pPr>
        <w:jc w:val="left"/>
      </w:pPr>
      <w:r>
        <w:rPr>
          <w:b/>
        </w:rPr>
        <w:t>Typische Auflagen:</w:t>
      </w:r>
    </w:p>
    <w:p>
      <w:pPr>
        <w:pStyle w:val="ListBullet"/>
      </w:pPr>
      <w:r>
        <w:t>Geldzahlung an gemeinnützige Einrichtung oder Staatskasse</w:t>
      </w:r>
    </w:p>
    <w:p>
      <w:pPr>
        <w:pStyle w:val="ListBullet"/>
      </w:pPr>
      <w:r>
        <w:t>Schadensersatz / Schadenswiedergutmachung an Geschädigte</w:t>
      </w:r>
    </w:p>
    <w:p>
      <w:pPr>
        <w:pStyle w:val="ListBullet"/>
      </w:pPr>
      <w:r>
        <w:t>Gemeinnützige Arbeit</w:t>
      </w:r>
    </w:p>
    <w:p>
      <w:pPr>
        <w:pStyle w:val="ListBullet"/>
      </w:pPr>
      <w:r>
        <w:t>Teilnahme an Kurs oder Beratung</w:t>
      </w:r>
    </w:p>
    <w:p/>
    <w:p>
      <w:pPr>
        <w:pStyle w:val="Heading2"/>
      </w:pPr>
      <w:r>
        <w:rPr>
          <w:rFonts w:ascii="Times New Roman" w:hAnsi="Times New Roman"/>
        </w:rPr>
        <w:t>3. Analyse – Tat 1 (Ladendiebstahl, §§ 242, 248a StGB)</w:t>
      </w:r>
    </w:p>
    <w:p>
      <w:pPr>
        <w:pStyle w:val="Heading3"/>
      </w:pPr>
      <w:r>
        <w:rPr>
          <w:rFonts w:ascii="Times New Roman" w:hAnsi="Times New Roman"/>
        </w:rPr>
        <w:t>Argumente für Einstellung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Warenwert 47,80 EUR → Grenzwert § 248a StGB (geringwertig)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Vorstrafen (BZR blank)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Vollständige, spontane Rückgabe der Ware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Ausdrückliche Entschuldigung beim Ladendetektiv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Mandantin in psychischer Ausnahmesituation (erkrankte Tochter)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Berufliche und soziale Betroffenheit (Ersttäterin, Probezeit, Kind)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Ladendetektiv schildert Reue als glaubwürdig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Videobeweise nicht eindeutig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auf Schadenswiedergutmachung: Zahlung Schadenspauschale 50 EUR bereits angeboten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Strafantrag nach § 248a StGB gestellt, aber Rücknahme praktisch ausgeschlossen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Argumente gegen Einstellung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Vier separate Artikel eingesteckt (kein einmaliges Versehen)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Gegner: gering (Detektivaussage aber angreifbar)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Strafbefehl wurde bereits erlassen (Gericht hat Unrechtgehalt gewichtet)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Gegner: mittel</w:t>
            </w:r>
          </w:p>
        </w:tc>
      </w:tr>
    </w:tbl>
    <w:p>
      <w:pPr>
        <w:jc w:val="left"/>
      </w:pPr>
      <w:r>
        <w:rPr>
          <w:b/>
        </w:rPr>
        <w:t>Einschätzung:</w:t>
      </w:r>
      <w:r>
        <w:t xml:space="preserve"> Einstellung nach § 153 StPO (ohne Auflagen) ist ambitioniert, aber argumentierbar bei konsequenter Darstellung der Ersttäterinnensituation. </w:t>
      </w:r>
      <w:r>
        <w:rPr>
          <w:b/>
        </w:rPr>
        <w:t>Einstellung nach § 153a StPO</w:t>
      </w:r>
      <w:r>
        <w:t xml:space="preserve"> gegen eine Geldauflage von 300–500 EUR ist </w:t>
      </w:r>
      <w:r>
        <w:rPr>
          <w:b/>
        </w:rPr>
        <w:t>gut begründbar und realistisch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4. Analyse – Tat 2 (Unerlaubtes Entfernen vom Unfallort, § 142 StGB)</w:t>
      </w:r>
    </w:p>
    <w:p>
      <w:pPr>
        <w:pStyle w:val="Heading3"/>
      </w:pPr>
      <w:r>
        <w:rPr>
          <w:rFonts w:ascii="Times New Roman" w:hAnsi="Times New Roman"/>
        </w:rPr>
        <w:t>Argumente für Einstellung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Subjektiver Tatbestand unklar: Hat Mandantin Unfall wahrgenommen?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Videoaufnahme zeigt keinen eindeutigen Kontakt aus Fahrerperspektive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Zeuge vorhanden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früheres Verkehrsdelikt (FAER: 0 Punkte, kein Fahrverbot)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Fahrerflucht-Mentalität (Mandantin ist keine Wiederholungstäterin)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Schadenshöhe 1.180 EUR: Stoßstangenschäden auch durch minimale Kontakte möglich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Mandantin hat Zeugenfragebogen nicht ausgefüllt – kein Geständnis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Argumente gegen Einstellung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Schadenshöhe über Bagatellgrenze (§ 69 Abs. 2 Nr. 3 StGB-Analogie)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Gegner: 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Fahrzeug per KBA eindeutig identifiziert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Gegner: gering (Halten ≠ Fahren zum Unfallzeitpunkt)</w:t>
            </w:r>
          </w:p>
        </w:tc>
      </w:tr>
    </w:tbl>
    <w:p>
      <w:pPr>
        <w:jc w:val="left"/>
      </w:pPr>
      <w:r>
        <w:rPr>
          <w:b/>
        </w:rPr>
        <w:t>Einschätzung:</w:t>
      </w:r>
      <w:r>
        <w:t xml:space="preserve"> Deutlich bessere Chancen auf Einstellung als Tat 1, da der Tatbestand den nachgewiesenen Vorsatz der Kenntnis voraussetzt. Beweislage schützt die Mandantin.</w:t>
      </w:r>
    </w:p>
    <w:p/>
    <w:p>
      <w:pPr>
        <w:pStyle w:val="Heading2"/>
      </w:pPr>
      <w:r>
        <w:rPr>
          <w:rFonts w:ascii="Times New Roman" w:hAnsi="Times New Roman"/>
        </w:rPr>
        <w:t>5. Gesamtstrategie</w:t>
      </w:r>
    </w:p>
    <w:p>
      <w:pPr>
        <w:pStyle w:val="Heading3"/>
      </w:pPr>
      <w:r>
        <w:rPr>
          <w:rFonts w:ascii="Times New Roman" w:hAnsi="Times New Roman"/>
        </w:rPr>
        <w:t>Primärziel: Einstellung beider Taten nach § 153a StPO</w:t>
      </w:r>
    </w:p>
    <w:p>
      <w:pPr>
        <w:jc w:val="left"/>
      </w:pPr>
      <w:r>
        <w:rPr>
          <w:b/>
        </w:rPr>
        <w:t>Vorgehen:</w:t>
      </w:r>
    </w:p>
    <w:p>
      <w:pPr>
        <w:pStyle w:val="ListNumber"/>
      </w:pPr>
      <w:r>
        <w:rPr>
          <w:b/>
        </w:rPr>
        <w:t>Vorabkontakt mit Staatsanwaltschaft</w:t>
      </w:r>
      <w:r>
        <w:t xml:space="preserve"> vor der Hauptverhandlung (Telefon oder schriftliche Anfrage an StA'in Dr. Rohloff):</w:t>
      </w:r>
    </w:p>
    <w:p>
      <w:pPr>
        <w:pStyle w:val="ListBullet"/>
      </w:pPr>
      <w:r>
        <w:t>Darstellung der Ersttäterinnensituation</w:t>
      </w:r>
    </w:p>
    <w:p>
      <w:pPr>
        <w:pStyle w:val="ListBullet"/>
      </w:pPr>
      <w:r>
        <w:t>Angebot der Mandantin zur freiwilligen Zahlung einer Geldauflage</w:t>
      </w:r>
    </w:p>
    <w:p>
      <w:pPr>
        <w:pStyle w:val="ListBullet"/>
      </w:pPr>
      <w:r>
        <w:t>Nachweis Wiedergutmachung Tat 1 (Schadenspauschale 50 EUR bezahlt)</w:t>
      </w:r>
    </w:p>
    <w:p>
      <w:pPr>
        <w:pStyle w:val="ListBullet"/>
      </w:pPr>
      <w:r>
        <w:t>Darlegung fehlender Beweise für Vorsatz bei Tat 2</w:t>
      </w:r>
    </w:p>
    <w:p>
      <w:pPr>
        <w:pStyle w:val="ListNumber"/>
      </w:pPr>
      <w:r>
        <w:rPr>
          <w:b/>
        </w:rPr>
        <w:t>Antrag in der Hauptverhandlung</w:t>
      </w:r>
      <w:r>
        <w:t xml:space="preserve"> (§ 153a Abs. 2 StPO):</w:t>
      </w:r>
    </w:p>
    <w:p>
      <w:pPr>
        <w:pStyle w:val="ListBullet"/>
      </w:pPr>
      <w:r>
        <w:t>Formeller Antrag auf Einstellung</w:t>
      </w:r>
    </w:p>
    <w:p>
      <w:pPr>
        <w:pStyle w:val="ListBullet"/>
      </w:pPr>
      <w:r>
        <w:t>Überreichung Einkommensbelege (mildernde Strafzumessung unterstützt Einstellungsargument)</w:t>
      </w:r>
    </w:p>
    <w:p>
      <w:pPr>
        <w:pStyle w:val="ListBullet"/>
      </w:pPr>
      <w:r>
        <w:t>Angebot: 500 EUR Geldauflage an gemeinnützige Einrichtung (Kindertafel Düsseldorf e.V.)</w:t>
      </w:r>
    </w:p>
    <w:p>
      <w:pPr>
        <w:pStyle w:val="ListBullet"/>
      </w:pPr>
      <w:r>
        <w:t>Angebot: Zusätzlich vollständiger Schadensersatz an Geschädigte Fröhlich (1.180 EUR) als Auflage, falls § 142 StGB nicht eingestellt</w:t>
      </w:r>
    </w:p>
    <w:p>
      <w:pPr>
        <w:pStyle w:val="ListNumber"/>
      </w:pPr>
      <w:r>
        <w:rPr>
          <w:b/>
        </w:rPr>
        <w:t>Trennung der Tatkomplexe:</w:t>
      </w:r>
      <w:r>
        <w:t xml:space="preserve"> Antrag auf getrennte Behandlung – Tat 1 nach § 153 StPO einstellen (Geringwertigkeit, Rückgabe), Tat 2 nach § 153a StPO mit moderater Geldauflage.</w:t>
      </w:r>
    </w:p>
    <w:p/>
    <w:p>
      <w:pPr>
        <w:pStyle w:val="Heading3"/>
      </w:pPr>
      <w:r>
        <w:rPr>
          <w:rFonts w:ascii="Times New Roman" w:hAnsi="Times New Roman"/>
        </w:rPr>
        <w:t>Sekundärziel: Erhebliche Reduzierung der Strafe</w:t>
      </w:r>
    </w:p>
    <w:p>
      <w:pPr>
        <w:jc w:val="left"/>
      </w:pPr>
      <w:r>
        <w:t>Wenn Einstellung scheitert:</w:t>
      </w:r>
    </w:p>
    <w:p>
      <w:pPr>
        <w:pStyle w:val="ListBullet"/>
      </w:pPr>
      <w:r>
        <w:t>Tagessatz: 43 EUR (statt 55 EUR)</w:t>
      </w:r>
    </w:p>
    <w:p>
      <w:pPr>
        <w:pStyle w:val="ListBullet"/>
      </w:pPr>
      <w:r>
        <w:t>Tagessatzzahl: 40–45 Tagessätze (statt 60)</w:t>
      </w:r>
    </w:p>
    <w:p>
      <w:pPr>
        <w:pStyle w:val="ListBullet"/>
      </w:pPr>
      <w:r>
        <w:t>Fahrverbot: wegfallen oder auf Vollstreckungsaufschub beschränken</w:t>
      </w:r>
    </w:p>
    <w:p/>
    <w:p>
      <w:pPr>
        <w:pStyle w:val="Heading2"/>
      </w:pPr>
      <w:r>
        <w:rPr>
          <w:rFonts w:ascii="Times New Roman" w:hAnsi="Times New Roman"/>
        </w:rPr>
        <w:t>6.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Akteneinsicht vollständig ausgewertet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 StA'in Dr. Rohloff (Telefonat)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Schadensersatz Drogerie überweisen (50 EUR Pauschale)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Ggf. Schadensersatz Fröhlich vorbereiten (1.180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 Abruf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Schriftliche Anfrage/Antrag an StA re § 153a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Hauptverhandlung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08.07.2026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Mandantenbelehrung (Protokoll)</w:t>
      </w:r>
    </w:p>
    <w:p>
      <w:pPr>
        <w:jc w:val="left"/>
      </w:pPr>
      <w:r>
        <w:t>Die Mandantin wurde am 24.05.2026 ausführlich über folgende Punkte belehrt:</w:t>
      </w:r>
    </w:p>
    <w:p>
      <w:pPr>
        <w:pStyle w:val="ListBullet"/>
      </w:pPr>
      <w:r>
        <w:t>Einstellung nach § 153 StPO: kein Eintrag ins BZR</w:t>
      </w:r>
    </w:p>
    <w:p>
      <w:pPr>
        <w:pStyle w:val="ListBullet"/>
      </w:pPr>
      <w:r>
        <w:t>Einstellung nach § 153a StPO: kein Eintrag ins BZR</w:t>
      </w:r>
    </w:p>
    <w:p>
      <w:pPr>
        <w:pStyle w:val="ListBullet"/>
      </w:pPr>
      <w:r>
        <w:t>Unterschied zu Verurteilung: BZR-Eintrag (nicht Führungszeugnis bei 60 TS), aber psychologisch belastend</w:t>
      </w:r>
    </w:p>
    <w:p>
      <w:pPr>
        <w:pStyle w:val="ListBullet"/>
      </w:pPr>
      <w:r>
        <w:t>Kosten einer Hauptverhandlung und mögliche weitere Verfahrensgebühren</w:t>
      </w:r>
    </w:p>
    <w:p>
      <w:pPr>
        <w:pStyle w:val="ListBullet"/>
      </w:pPr>
      <w:r>
        <w:t>Empfehlung: Schadenspauschale an Drogerie zahlen und in Verhandlung bringen</w:t>
      </w:r>
    </w:p>
    <w:p>
      <w:pPr>
        <w:jc w:val="left"/>
      </w:pPr>
      <w:r>
        <w:t>Die Mandantin hat zugestimmt, die Schadenspauschale von 50 EUR zu überweisen. Beleg zu den Akten nehmen.</w:t>
      </w:r>
    </w:p>
    <w:p/>
    <w:p>
      <w:pPr>
        <w:jc w:val="left"/>
      </w:pPr>
      <w:r>
        <w:rPr>
          <w:i/>
        </w:rPr>
        <w:t>Strategiepapier RAin Petra Mertens, Kanzlei Mertens &amp; Partner, 26.05.2026 / 15.06.2026</w:t>
      </w:r>
    </w:p>
    <w:p>
      <w:pPr>
        <w:jc w:val="left"/>
      </w:pPr>
      <w:r>
        <w:rPr>
          <w:i/>
        </w:rPr>
        <w:t>Vertraulich – nur für interne Kanzleiverwendung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