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Fallgeschichte — Untreue 9 Mio. EUR (2020–2024)</w:t>
      </w:r>
    </w:p>
    <w:p>
      <w:pPr>
        <w:jc w:val="left"/>
      </w:pPr>
      <w:r>
        <w:rPr>
          <w:b/>
        </w:rPr>
        <w:t>Aktenzeichen:</w:t>
      </w:r>
      <w:r>
        <w:t xml:space="preserve"> LG Frankfurt 5-22 KLs 188/26 | WS-2026-STR-0414</w:t>
      </w:r>
    </w:p>
    <w:p>
      <w:pPr>
        <w:jc w:val="left"/>
      </w:pPr>
      <w:r>
        <w:rPr>
          <w:b/>
        </w:rPr>
        <w:t>Bearbeitung:</w:t>
      </w:r>
      <w:r>
        <w:t xml:space="preserve"> Prof. Dr. H. Wittfeldt-Steinheim</w:t>
      </w:r>
    </w:p>
    <w:p/>
    <w:p>
      <w:pPr>
        <w:pStyle w:val="Heading2"/>
      </w:pPr>
      <w:r>
        <w:rPr>
          <w:rFonts w:ascii="Times New Roman" w:hAnsi="Times New Roman"/>
        </w:rPr>
        <w:t>Beteiligte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Rolle</w:t>
            </w:r>
          </w:p>
        </w:tc>
        <w:tc>
          <w:tcPr>
            <w:tcW w:type="dxa" w:w="3024"/>
          </w:tcPr>
          <w:p>
            <w:r>
              <w:rPr>
                <w:rFonts w:ascii="Times New Roman" w:hAnsi="Times New Roman"/>
                <w:b/>
                <w:sz w:val="20"/>
              </w:rPr>
              <w:t>Person/Einheit</w:t>
            </w:r>
          </w:p>
        </w:tc>
        <w:tc>
          <w:tcPr>
            <w:tcW w:type="dxa" w:w="3024"/>
          </w:tcPr>
          <w:p>
            <w:r>
              <w:rPr>
                <w:rFonts w:ascii="Times New Roman" w:hAnsi="Times New Roman"/>
                <w:b/>
                <w:sz w:val="20"/>
              </w:rPr>
              <w:t>Anmerkung</w:t>
            </w:r>
          </w:p>
        </w:tc>
      </w:tr>
      <w:tr>
        <w:tc>
          <w:tcPr>
            <w:tcW w:type="dxa" w:w="3024"/>
          </w:tcPr>
          <w:p>
            <w:r>
              <w:rPr>
                <w:rFonts w:ascii="Times New Roman" w:hAnsi="Times New Roman"/>
                <w:sz w:val="20"/>
              </w:rPr>
              <w:t>Mandant / Angeklagter</w:t>
            </w:r>
          </w:p>
        </w:tc>
        <w:tc>
          <w:tcPr>
            <w:tcW w:type="dxa" w:w="3024"/>
          </w:tcPr>
          <w:p>
            <w:r>
              <w:rPr>
                <w:rFonts w:ascii="Times New Roman" w:hAnsi="Times New Roman"/>
                <w:sz w:val="20"/>
              </w:rPr>
              <w:t>Konrad Bankert, geb. 17.09.1971</w:t>
            </w:r>
          </w:p>
        </w:tc>
        <w:tc>
          <w:tcPr>
            <w:tcW w:type="dxa" w:w="3024"/>
          </w:tcPr>
          <w:p>
            <w:r>
              <w:rPr>
                <w:rFonts w:ascii="Times New Roman" w:hAnsi="Times New Roman"/>
                <w:sz w:val="20"/>
              </w:rPr>
              <w:t>Ehem. Prokurist</w:t>
            </w:r>
          </w:p>
        </w:tc>
      </w:tr>
      <w:tr>
        <w:tc>
          <w:tcPr>
            <w:tcW w:type="dxa" w:w="3024"/>
          </w:tcPr>
          <w:p>
            <w:r>
              <w:rPr>
                <w:rFonts w:ascii="Times New Roman" w:hAnsi="Times New Roman"/>
                <w:sz w:val="20"/>
              </w:rPr>
              <w:t>Geschädigte</w:t>
            </w:r>
          </w:p>
        </w:tc>
        <w:tc>
          <w:tcPr>
            <w:tcW w:type="dxa" w:w="3024"/>
          </w:tcPr>
          <w:p>
            <w:r>
              <w:rPr>
                <w:rFonts w:ascii="Times New Roman" w:hAnsi="Times New Roman"/>
                <w:sz w:val="20"/>
              </w:rPr>
              <w:t>Müller &amp; Schmitt Treuhand GmbH, Frankfurt</w:t>
            </w:r>
          </w:p>
        </w:tc>
        <w:tc>
          <w:tcPr>
            <w:tcW w:type="dxa" w:w="3024"/>
          </w:tcPr>
          <w:p>
            <w:r>
              <w:rPr>
                <w:rFonts w:ascii="Times New Roman" w:hAnsi="Times New Roman"/>
                <w:sz w:val="20"/>
              </w:rPr>
              <w:t>Arbeitgeberin</w:t>
            </w:r>
          </w:p>
        </w:tc>
      </w:tr>
      <w:tr>
        <w:tc>
          <w:tcPr>
            <w:tcW w:type="dxa" w:w="3024"/>
          </w:tcPr>
          <w:p>
            <w:r>
              <w:rPr>
                <w:rFonts w:ascii="Times New Roman" w:hAnsi="Times New Roman"/>
                <w:sz w:val="20"/>
              </w:rPr>
              <w:t>Geschädigte (mittelbar)</w:t>
            </w:r>
          </w:p>
        </w:tc>
        <w:tc>
          <w:tcPr>
            <w:tcW w:type="dxa" w:w="3024"/>
          </w:tcPr>
          <w:p>
            <w:r>
              <w:rPr>
                <w:rFonts w:ascii="Times New Roman" w:hAnsi="Times New Roman"/>
                <w:sz w:val="20"/>
              </w:rPr>
              <w:t>11 Anleger-Klienten der Müller &amp; Schmitt GmbH</w:t>
            </w:r>
          </w:p>
        </w:tc>
        <w:tc>
          <w:tcPr>
            <w:tcW w:type="dxa" w:w="3024"/>
          </w:tcPr>
          <w:p>
            <w:r>
              <w:rPr>
                <w:rFonts w:ascii="Times New Roman" w:hAnsi="Times New Roman"/>
                <w:sz w:val="20"/>
              </w:rPr>
              <w:t>Treuhandvermögen</w:t>
            </w:r>
          </w:p>
        </w:tc>
      </w:tr>
      <w:tr>
        <w:tc>
          <w:tcPr>
            <w:tcW w:type="dxa" w:w="3024"/>
          </w:tcPr>
          <w:p>
            <w:r>
              <w:rPr>
                <w:rFonts w:ascii="Times New Roman" w:hAnsi="Times New Roman"/>
                <w:sz w:val="20"/>
              </w:rPr>
              <w:t>Tatmittel-Gesellschaft</w:t>
            </w:r>
          </w:p>
        </w:tc>
        <w:tc>
          <w:tcPr>
            <w:tcW w:type="dxa" w:w="3024"/>
          </w:tcPr>
          <w:p>
            <w:r>
              <w:rPr>
                <w:rFonts w:ascii="Times New Roman" w:hAnsi="Times New Roman"/>
                <w:sz w:val="20"/>
              </w:rPr>
              <w:t>Solarwind Capital LP (Liechtenstein)</w:t>
            </w:r>
          </w:p>
        </w:tc>
        <w:tc>
          <w:tcPr>
            <w:tcW w:type="dxa" w:w="3024"/>
          </w:tcPr>
          <w:p>
            <w:r>
              <w:rPr>
                <w:rFonts w:ascii="Times New Roman" w:hAnsi="Times New Roman"/>
                <w:sz w:val="20"/>
              </w:rPr>
              <w:t>Bankert wirtschaftlich Berechtigter</w:t>
            </w:r>
          </w:p>
        </w:tc>
      </w:tr>
      <w:tr>
        <w:tc>
          <w:tcPr>
            <w:tcW w:type="dxa" w:w="3024"/>
          </w:tcPr>
          <w:p>
            <w:r>
              <w:rPr>
                <w:rFonts w:ascii="Times New Roman" w:hAnsi="Times New Roman"/>
                <w:sz w:val="20"/>
              </w:rPr>
              <w:t>Staatsanwaltschaft</w:t>
            </w:r>
          </w:p>
        </w:tc>
        <w:tc>
          <w:tcPr>
            <w:tcW w:type="dxa" w:w="3024"/>
          </w:tcPr>
          <w:p>
            <w:r>
              <w:rPr>
                <w:rFonts w:ascii="Times New Roman" w:hAnsi="Times New Roman"/>
                <w:sz w:val="20"/>
              </w:rPr>
              <w:t>StA Frankfurt, Dezernat Wirtschaftskriminalität</w:t>
            </w:r>
          </w:p>
        </w:tc>
        <w:tc>
          <w:tcPr>
            <w:tcW w:type="dxa" w:w="3024"/>
          </w:tcPr>
          <w:p>
            <w:r>
              <w:rPr>
                <w:rFonts w:ascii="Times New Roman" w:hAnsi="Times New Roman"/>
                <w:sz w:val="20"/>
              </w:rPr>
              <w:t>OStA Dr. Rainer Holtkamp</w:t>
            </w:r>
          </w:p>
        </w:tc>
      </w:tr>
      <w:tr>
        <w:tc>
          <w:tcPr>
            <w:tcW w:type="dxa" w:w="3024"/>
          </w:tcPr>
          <w:p>
            <w:r>
              <w:rPr>
                <w:rFonts w:ascii="Times New Roman" w:hAnsi="Times New Roman"/>
                <w:sz w:val="20"/>
              </w:rPr>
              <w:t>Kammer</w:t>
            </w:r>
          </w:p>
        </w:tc>
        <w:tc>
          <w:tcPr>
            <w:tcW w:type="dxa" w:w="3024"/>
          </w:tcPr>
          <w:p>
            <w:r>
              <w:rPr>
                <w:rFonts w:ascii="Times New Roman" w:hAnsi="Times New Roman"/>
                <w:sz w:val="20"/>
              </w:rPr>
              <w:t>LG Frankfurt, 5. Große Strafkammer</w:t>
            </w:r>
          </w:p>
        </w:tc>
        <w:tc>
          <w:tcPr>
            <w:tcW w:type="dxa" w:w="3024"/>
          </w:tcPr>
          <w:p>
            <w:r>
              <w:rPr>
                <w:rFonts w:ascii="Times New Roman" w:hAnsi="Times New Roman"/>
                <w:sz w:val="20"/>
              </w:rPr>
              <w:t>Vorsitz: RiLG Dr. Ute Brendel</w:t>
            </w:r>
          </w:p>
        </w:tc>
      </w:tr>
      <w:tr>
        <w:tc>
          <w:tcPr>
            <w:tcW w:type="dxa" w:w="3024"/>
          </w:tcPr>
          <w:p>
            <w:r>
              <w:rPr>
                <w:rFonts w:ascii="Times New Roman" w:hAnsi="Times New Roman"/>
                <w:sz w:val="20"/>
              </w:rPr>
              <w:t>Revisionsinstanz</w:t>
            </w:r>
          </w:p>
        </w:tc>
        <w:tc>
          <w:tcPr>
            <w:tcW w:type="dxa" w:w="3024"/>
          </w:tcPr>
          <w:p>
            <w:r>
              <w:rPr>
                <w:rFonts w:ascii="Times New Roman" w:hAnsi="Times New Roman"/>
                <w:sz w:val="20"/>
              </w:rPr>
              <w:t>BGH, 5. Strafsenat</w:t>
            </w:r>
          </w:p>
        </w:tc>
        <w:tc>
          <w:tcPr>
            <w:tcW w:type="dxa" w:w="3024"/>
          </w:tcPr>
          <w:p>
            <w:r>
              <w:rPr>
                <w:rFonts w:ascii="Times New Roman" w:hAnsi="Times New Roman"/>
                <w:sz w:val="20"/>
              </w:rPr>
              <w:t>AZ: BGH 5 StR 2188/26</w:t>
            </w:r>
          </w:p>
        </w:tc>
      </w:tr>
    </w:tbl>
    <w:p/>
    <w:p>
      <w:pPr>
        <w:pStyle w:val="Heading2"/>
      </w:pPr>
      <w:r>
        <w:rPr>
          <w:rFonts w:ascii="Times New Roman" w:hAnsi="Times New Roman"/>
        </w:rPr>
        <w:t>Tatchronik 2020–2024</w:t>
      </w:r>
    </w:p>
    <w:p>
      <w:pPr>
        <w:pStyle w:val="Heading3"/>
      </w:pPr>
      <w:r>
        <w:rPr>
          <w:rFonts w:ascii="Times New Roman" w:hAnsi="Times New Roman"/>
        </w:rPr>
        <w:t>Vorgeschichte (2008–2019)</w:t>
      </w:r>
    </w:p>
    <w:p>
      <w:pPr>
        <w:jc w:val="left"/>
      </w:pPr>
      <w:r>
        <w:t>Konrad Bankert tritt 2008 als Prokurist in die Müller &amp; Schmitt Treuhand GmbH ein. Das Unternehmen verwaltet Treuhandvermögen institutioneller und privater Anleger; Bankert betreut ab 2012 als Bereichsleiter das Segment Kapitalanlage-Treuhand mit einem Gesamtvolumen von rd. 140 Mio. EUR. Seine Unterschriftsbefugnis umfasst Überweisungen bis 500.000 EUR ohne Zweitunterschrift.</w:t>
      </w:r>
    </w:p>
    <w:p>
      <w:pPr>
        <w:jc w:val="left"/>
      </w:pPr>
      <w:r>
        <w:t>Im Jahr 2018 entstehen im Portfolio des Klienten Hessische Berufsgenossenschaft für Handel und Warendistribution erhebliche Verluste durch ein Derivatgeschäft, das Bankert eigenmächtig eingegangen ist (Verlust ca. 1,1 Mio. EUR). Dieser Verlust wird intern verbucht, ohne dass Bankert die Geschäftsführung vollständig informiert. Er beschließt, den Verlust durch externe Gewinne zu kompensieren.</w:t>
      </w:r>
    </w:p>
    <w:p>
      <w:pPr>
        <w:pStyle w:val="Heading3"/>
      </w:pPr>
      <w:r>
        <w:rPr>
          <w:rFonts w:ascii="Times New Roman" w:hAnsi="Times New Roman"/>
        </w:rPr>
        <w:t>Tatphase I (Januar 2020 — Dezember 2021)</w:t>
      </w:r>
    </w:p>
    <w:p>
      <w:pPr>
        <w:jc w:val="left"/>
      </w:pPr>
      <w:r>
        <w:t>Bankert gründet Ende 2019 über einen Liechtensteiner Anwalt die Solarwind Capital LP als Vehikel für spekulative Kapitalmarktgeschäfte. Er ist der einzige wirtschaftlich Berechtigte.</w:t>
      </w:r>
    </w:p>
    <w:p>
      <w:pPr>
        <w:jc w:val="left"/>
      </w:pPr>
      <w:r>
        <w:t>Im Zeitraum Januar 2020 bis Dezember 2021 veranlasst Bankert insgesamt 42 Überweisungen von Treuhandkonten der Müller &amp; Schmitt GmbH auf Konten der Solarwind Capital LP in Vaduz. Die Überweisungen werden als "Anlagemandate" und "Dienstleistungsgebühren" in der Buchhaltung kaschiert. Gesamtbetrag dieser Phase: 3,2 Mio. EUR.</w:t>
      </w:r>
    </w:p>
    <w:p>
      <w:pPr>
        <w:pStyle w:val="Heading3"/>
      </w:pPr>
      <w:r>
        <w:rPr>
          <w:rFonts w:ascii="Times New Roman" w:hAnsi="Times New Roman"/>
        </w:rPr>
        <w:t>Tatphase II (Januar 2022 — Oktober 2024)</w:t>
      </w:r>
    </w:p>
    <w:p>
      <w:pPr>
        <w:jc w:val="left"/>
      </w:pPr>
      <w:r>
        <w:t>Nachdem die Börsenspekulation über die Solarwind Capital LP erhebliche weitere Verluste erzeugt hat (Verlust der gesamten Tatphase I-Mittel bis Ende 2022), eskaliert Bankert das Schema. Im Zeitraum Januar 2022 bis Oktober 2024 werden 68 weitere Überweisungen veranlasst, Einzelbeträge nunmehr bis zu 280.000 EUR. Gesamtbetrag dieser Phase: 5,8 Mio. EUR.</w:t>
      </w:r>
    </w:p>
    <w:p>
      <w:pPr>
        <w:jc w:val="left"/>
      </w:pPr>
      <w:r>
        <w:t>Die Überweisungen werden durch gefälschte Buchungsbelege überdeckt (Computerbetrug; die StA hat insoweit § 263a StGB im Wege der Tateinheit erwogen, letztlich aber Anklage nur wegen § 266 StGB erhoben).</w:t>
      </w:r>
    </w:p>
    <w:p>
      <w:pPr>
        <w:jc w:val="left"/>
      </w:pPr>
      <w:r>
        <w:rPr>
          <w:b/>
        </w:rPr>
        <w:t>Gesamtschaden:</w:t>
      </w:r>
      <w:r>
        <w:t xml:space="preserve"> 9 Mio. EUR (3,2 + 5,8 Mio. EUR).</w:t>
      </w:r>
    </w:p>
    <w:p>
      <w:pPr>
        <w:pStyle w:val="Heading3"/>
      </w:pPr>
      <w:r>
        <w:rPr>
          <w:rFonts w:ascii="Times New Roman" w:hAnsi="Times New Roman"/>
        </w:rPr>
        <w:t>Aufdeckung (Oktober 2024)</w:t>
      </w:r>
    </w:p>
    <w:p>
      <w:pPr>
        <w:jc w:val="left"/>
      </w:pPr>
      <w:r>
        <w:t>Im Oktober 2024 führt die Müller &amp; Schmitt GmbH eine interne Revision durch. Der Wirtschaftsprüfer Rainer Fecht (WP-Gesellschaft Fecht &amp; Partner GmbH) entdeckt die Überweisungsmuster. Am 22.10.2024 wird Bankert von der Geschäftsführung mit den Erkenntnissen konfrontiert. Er legt sofort ein vollständiges Geständnis gegenüber der Geschäftsführung ab und erstattet noch am selben Tag Selbstanzeige bei der Staatsanwaltschaft Frankfurt.</w:t>
      </w:r>
    </w:p>
    <w:p>
      <w:pPr>
        <w:pStyle w:val="Heading3"/>
      </w:pPr>
      <w:r>
        <w:rPr>
          <w:rFonts w:ascii="Times New Roman" w:hAnsi="Times New Roman"/>
        </w:rPr>
        <w:t>Ermittlungsverfahren (Oktober 2024 — Januar 2026)</w:t>
      </w:r>
    </w:p>
    <w:p>
      <w:pPr>
        <w:jc w:val="left"/>
      </w:pPr>
      <w:r>
        <w:t>Die Staatsanwaltschaft Frankfurt, Dezernat Wirtschaftskriminalität, leitet ein Ermittlungsverfahren ein. Bankert kooperiert vollständig: Er übergibt sämtliche Unterlagen zur Solarwind Capital LP, benennt den Liechtensteiner Anwalt und erlaubt die Durchsuchung seiner Wohnung ohne Gegenwehr.</w:t>
      </w:r>
    </w:p>
    <w:p>
      <w:pPr>
        <w:jc w:val="left"/>
      </w:pPr>
      <w:r>
        <w:t>Im November 2024 beantragt Bankert Privatinsolvenz. Im Dezember 2024 werden alle verfügbaren Mittel — Sparguthaben 620.000 EUR, Lebensversicherungen 840.000 EUR, Erlös aus dem Immobilienverkauf 1.100.000 EUR, Verkauf Wertpapierdepot 1.640.000 EUR — auf ein Anderkonto der Verteidigung überwiesen. Dieser Betrag von zusammen 4,2 Mio. EUR wird im Januar 2025 an die Müller &amp; Schmitt GmbH als Wiedergutmachung ausgezahlt.</w:t>
      </w:r>
    </w:p>
    <w:p>
      <w:pPr>
        <w:jc w:val="left"/>
      </w:pPr>
      <w:r>
        <w:t>Haftbefehl und Verhaftung: 19.01.2026.</w:t>
      </w:r>
    </w:p>
    <w:p>
      <w:pPr>
        <w:jc w:val="left"/>
      </w:pPr>
      <w:r>
        <w:t>Anklageschrift: 28.01.2026.</w:t>
      </w:r>
    </w:p>
    <w:p>
      <w:pPr>
        <w:jc w:val="left"/>
      </w:pPr>
      <w:r>
        <w:t>Eröffnungsbeschluss: 11.02.2026.</w:t>
      </w:r>
    </w:p>
    <w:p>
      <w:pPr>
        <w:jc w:val="left"/>
      </w:pPr>
      <w:r>
        <w:t>Hauptverhandlung: 03.03.2026 – 21.04.2026.</w:t>
      </w:r>
    </w:p>
    <w:p/>
    <w:p>
      <w:pPr>
        <w:pStyle w:val="Heading2"/>
      </w:pPr>
      <w:r>
        <w:rPr>
          <w:rFonts w:ascii="Times New Roman" w:hAnsi="Times New Roman"/>
        </w:rPr>
        <w:t>Schadensübersicht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Phase</w:t>
            </w:r>
          </w:p>
        </w:tc>
        <w:tc>
          <w:tcPr>
            <w:tcW w:type="dxa" w:w="2268"/>
          </w:tcPr>
          <w:p>
            <w:r>
              <w:rPr>
                <w:rFonts w:ascii="Times New Roman" w:hAnsi="Times New Roman"/>
                <w:b/>
                <w:sz w:val="20"/>
              </w:rPr>
              <w:t>Zeitraum</w:t>
            </w:r>
          </w:p>
        </w:tc>
        <w:tc>
          <w:tcPr>
            <w:tcW w:type="dxa" w:w="2268"/>
          </w:tcPr>
          <w:p>
            <w:r>
              <w:rPr>
                <w:rFonts w:ascii="Times New Roman" w:hAnsi="Times New Roman"/>
                <w:b/>
                <w:sz w:val="20"/>
              </w:rPr>
              <w:t>Überweisungen (Anz.)</w:t>
            </w:r>
          </w:p>
        </w:tc>
        <w:tc>
          <w:tcPr>
            <w:tcW w:type="dxa" w:w="2268"/>
          </w:tcPr>
          <w:p>
            <w:r>
              <w:rPr>
                <w:rFonts w:ascii="Times New Roman" w:hAnsi="Times New Roman"/>
                <w:b/>
                <w:sz w:val="20"/>
              </w:rPr>
              <w:t>Betrag</w:t>
            </w:r>
          </w:p>
        </w:tc>
      </w:tr>
      <w:tr>
        <w:tc>
          <w:tcPr>
            <w:tcW w:type="dxa" w:w="2268"/>
          </w:tcPr>
          <w:p>
            <w:r>
              <w:rPr>
                <w:rFonts w:ascii="Times New Roman" w:hAnsi="Times New Roman"/>
                <w:sz w:val="20"/>
              </w:rPr>
              <w:t>Tatphase I</w:t>
            </w:r>
          </w:p>
        </w:tc>
        <w:tc>
          <w:tcPr>
            <w:tcW w:type="dxa" w:w="2268"/>
          </w:tcPr>
          <w:p>
            <w:r>
              <w:rPr>
                <w:rFonts w:ascii="Times New Roman" w:hAnsi="Times New Roman"/>
                <w:sz w:val="20"/>
              </w:rPr>
              <w:t>Jan 2020 – Dez 2021</w:t>
            </w:r>
          </w:p>
        </w:tc>
        <w:tc>
          <w:tcPr>
            <w:tcW w:type="dxa" w:w="2268"/>
          </w:tcPr>
          <w:p>
            <w:r>
              <w:rPr>
                <w:rFonts w:ascii="Times New Roman" w:hAnsi="Times New Roman"/>
                <w:sz w:val="20"/>
              </w:rPr>
              <w:t>42</w:t>
            </w:r>
          </w:p>
        </w:tc>
        <w:tc>
          <w:tcPr>
            <w:tcW w:type="dxa" w:w="2268"/>
          </w:tcPr>
          <w:p>
            <w:r>
              <w:rPr>
                <w:rFonts w:ascii="Times New Roman" w:hAnsi="Times New Roman"/>
                <w:sz w:val="20"/>
              </w:rPr>
              <w:t>3.200.000 EUR</w:t>
            </w:r>
          </w:p>
        </w:tc>
      </w:tr>
      <w:tr>
        <w:tc>
          <w:tcPr>
            <w:tcW w:type="dxa" w:w="2268"/>
          </w:tcPr>
          <w:p>
            <w:r>
              <w:rPr>
                <w:rFonts w:ascii="Times New Roman" w:hAnsi="Times New Roman"/>
                <w:sz w:val="20"/>
              </w:rPr>
              <w:t>Tatphase II</w:t>
            </w:r>
          </w:p>
        </w:tc>
        <w:tc>
          <w:tcPr>
            <w:tcW w:type="dxa" w:w="2268"/>
          </w:tcPr>
          <w:p>
            <w:r>
              <w:rPr>
                <w:rFonts w:ascii="Times New Roman" w:hAnsi="Times New Roman"/>
                <w:sz w:val="20"/>
              </w:rPr>
              <w:t>Jan 2022 – Okt 2024</w:t>
            </w:r>
          </w:p>
        </w:tc>
        <w:tc>
          <w:tcPr>
            <w:tcW w:type="dxa" w:w="2268"/>
          </w:tcPr>
          <w:p>
            <w:r>
              <w:rPr>
                <w:rFonts w:ascii="Times New Roman" w:hAnsi="Times New Roman"/>
                <w:sz w:val="20"/>
              </w:rPr>
              <w:t>68</w:t>
            </w:r>
          </w:p>
        </w:tc>
        <w:tc>
          <w:tcPr>
            <w:tcW w:type="dxa" w:w="2268"/>
          </w:tcPr>
          <w:p>
            <w:r>
              <w:rPr>
                <w:rFonts w:ascii="Times New Roman" w:hAnsi="Times New Roman"/>
                <w:sz w:val="20"/>
              </w:rPr>
              <w:t>5.800.000 EUR</w:t>
            </w:r>
          </w:p>
        </w:tc>
      </w:tr>
      <w:tr>
        <w:tc>
          <w:tcPr>
            <w:tcW w:type="dxa" w:w="2268"/>
          </w:tcPr>
          <w:p>
            <w:r>
              <w:rPr>
                <w:rFonts w:ascii="Times New Roman" w:hAnsi="Times New Roman"/>
                <w:sz w:val="20"/>
              </w:rPr>
              <w:t>Gesamtschaden</w:t>
            </w:r>
          </w:p>
        </w:tc>
        <w:tc>
          <w:tcPr>
            <w:tcW w:type="dxa" w:w="2268"/>
          </w:tcPr>
          <w:p/>
        </w:tc>
        <w:tc>
          <w:tcPr>
            <w:tcW w:type="dxa" w:w="2268"/>
          </w:tcPr>
          <w:p>
            <w:r>
              <w:rPr>
                <w:rFonts w:ascii="Times New Roman" w:hAnsi="Times New Roman"/>
                <w:sz w:val="20"/>
              </w:rPr>
              <w:t>110</w:t>
            </w:r>
          </w:p>
        </w:tc>
        <w:tc>
          <w:tcPr>
            <w:tcW w:type="dxa" w:w="2268"/>
          </w:tcPr>
          <w:p>
            <w:r>
              <w:rPr>
                <w:rFonts w:ascii="Times New Roman" w:hAnsi="Times New Roman"/>
                <w:sz w:val="20"/>
              </w:rPr>
              <w:t>9.000.000 EUR</w:t>
            </w:r>
          </w:p>
        </w:tc>
      </w:tr>
      <w:tr>
        <w:tc>
          <w:tcPr>
            <w:tcW w:type="dxa" w:w="2268"/>
          </w:tcPr>
          <w:p>
            <w:r>
              <w:rPr>
                <w:rFonts w:ascii="Times New Roman" w:hAnsi="Times New Roman"/>
                <w:sz w:val="20"/>
              </w:rPr>
              <w:t>Wiedergutmachung</w:t>
            </w:r>
          </w:p>
        </w:tc>
        <w:tc>
          <w:tcPr>
            <w:tcW w:type="dxa" w:w="2268"/>
          </w:tcPr>
          <w:p>
            <w:r>
              <w:rPr>
                <w:rFonts w:ascii="Times New Roman" w:hAnsi="Times New Roman"/>
                <w:sz w:val="20"/>
              </w:rPr>
              <w:t>Jan 2025</w:t>
            </w:r>
          </w:p>
        </w:tc>
        <w:tc>
          <w:tcPr>
            <w:tcW w:type="dxa" w:w="2268"/>
          </w:tcPr>
          <w:p>
            <w:r>
              <w:rPr>
                <w:rFonts w:ascii="Times New Roman" w:hAnsi="Times New Roman"/>
                <w:sz w:val="20"/>
              </w:rPr>
              <w:t>—</w:t>
            </w:r>
          </w:p>
        </w:tc>
        <w:tc>
          <w:tcPr>
            <w:tcW w:type="dxa" w:w="2268"/>
          </w:tcPr>
          <w:p>
            <w:r>
              <w:rPr>
                <w:rFonts w:ascii="Times New Roman" w:hAnsi="Times New Roman"/>
                <w:sz w:val="20"/>
              </w:rPr>
              <w:t>4.200.000 EUR</w:t>
            </w:r>
          </w:p>
        </w:tc>
      </w:tr>
      <w:tr>
        <w:tc>
          <w:tcPr>
            <w:tcW w:type="dxa" w:w="2268"/>
          </w:tcPr>
          <w:p>
            <w:r>
              <w:rPr>
                <w:rFonts w:ascii="Times New Roman" w:hAnsi="Times New Roman"/>
                <w:sz w:val="20"/>
              </w:rPr>
              <w:t>Restschaden</w:t>
            </w:r>
          </w:p>
        </w:tc>
        <w:tc>
          <w:tcPr>
            <w:tcW w:type="dxa" w:w="2268"/>
          </w:tcPr>
          <w:p/>
        </w:tc>
        <w:tc>
          <w:tcPr>
            <w:tcW w:type="dxa" w:w="2268"/>
          </w:tcPr>
          <w:p/>
        </w:tc>
        <w:tc>
          <w:tcPr>
            <w:tcW w:type="dxa" w:w="2268"/>
          </w:tcPr>
          <w:p>
            <w:r>
              <w:rPr>
                <w:rFonts w:ascii="Times New Roman" w:hAnsi="Times New Roman"/>
                <w:sz w:val="20"/>
              </w:rPr>
              <w:t>4.800.000 EUR</w:t>
            </w:r>
          </w:p>
        </w:tc>
      </w:tr>
    </w:tbl>
    <w:p/>
    <w:p>
      <w:pPr>
        <w:jc w:val="left"/>
      </w:pPr>
      <w:r>
        <w:rPr>
          <w:b/>
        </w:rPr>
        <w:t>Quellen:</w:t>
      </w:r>
    </w:p>
    <w:p>
      <w:pPr>
        <w:pStyle w:val="ListBullet"/>
      </w:pPr>
      <w:r>
        <w:t>§ 266 StGB Untreue: https://dejure.org/gesetze/StGB/266.html</w:t>
      </w:r>
    </w:p>
    <w:p>
      <w:pPr>
        <w:pStyle w:val="ListBullet"/>
      </w:pPr>
      <w:r>
        <w:t>§ 46a StGB Schadenswiedergutmachung: https://dejure.org/gesetze/StGB/46a.html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