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Strafmaß-Strategie der Verteidigung</w:t>
      </w:r>
    </w:p>
    <w:p>
      <w:pPr>
        <w:jc w:val="left"/>
      </w:pPr>
      <w:r>
        <w:rPr>
          <w:b/>
        </w:rPr>
        <w:t>Aktenzeichen:</w:t>
      </w:r>
      <w:r>
        <w:t xml:space="preserve"> LG Frankfurt 5-22 KLs 188/26 | WS-2026-STR-0414</w:t>
      </w:r>
    </w:p>
    <w:p>
      <w:pPr>
        <w:jc w:val="left"/>
      </w:pPr>
      <w:r>
        <w:rPr>
          <w:b/>
        </w:rPr>
        <w:t>Bearbeitung:</w:t>
      </w:r>
      <w:r>
        <w:t xml:space="preserve"> Prof. Dr. H. Wittfeldt-Steinheim</w:t>
      </w:r>
    </w:p>
    <w:p>
      <w:pPr>
        <w:jc w:val="left"/>
      </w:pPr>
      <w:r>
        <w:rPr>
          <w:b/>
        </w:rPr>
        <w:t>Datum:</w:t>
      </w:r>
      <w:r>
        <w:t xml:space="preserve"> 10.03.2026</w:t>
      </w:r>
    </w:p>
    <w:p/>
    <w:p>
      <w:pPr>
        <w:pStyle w:val="Heading2"/>
      </w:pPr>
      <w:r>
        <w:rPr>
          <w:rFonts w:ascii="Times New Roman" w:hAnsi="Times New Roman"/>
        </w:rPr>
        <w:t>Verteidigungsantrag: 2 Jahre 6 Monate auf Bewährung</w:t>
      </w:r>
    </w:p>
    <w:p>
      <w:pPr>
        <w:pStyle w:val="Heading3"/>
      </w:pPr>
      <w:r>
        <w:rPr>
          <w:rFonts w:ascii="Times New Roman" w:hAnsi="Times New Roman"/>
        </w:rPr>
        <w:t>Strategische Grundausrichtung</w:t>
      </w:r>
    </w:p>
    <w:p>
      <w:pPr>
        <w:jc w:val="left"/>
      </w:pPr>
      <w:r>
        <w:t>Die Verteidigung hat bereits in der Mandatsübernahme entschieden, keine Einlassung zur Schuldfrage zu machen, sondern sich vollständig auf die Strafzumessung zu konzentrieren. Bankert wird ein umfassendes Geständnis ablegen. Die Strategie zielt auf:</w:t>
      </w:r>
    </w:p>
    <w:p>
      <w:pPr>
        <w:pStyle w:val="ListNumber"/>
      </w:pPr>
      <w:r>
        <w:t>Nutzung aller strafmildernden Umstände nach § 46 StGB.</w:t>
      </w:r>
    </w:p>
    <w:p>
      <w:pPr>
        <w:pStyle w:val="ListNumber"/>
      </w:pPr>
      <w:r>
        <w:t>Vollständige Ausschöpfung der Strafmilderung nach § 46a StGB wegen Schadenswiedergutmachung.</w:t>
      </w:r>
    </w:p>
    <w:p>
      <w:pPr>
        <w:pStyle w:val="ListNumber"/>
      </w:pPr>
      <w:r>
        <w:t>Nachweis der Bewährungsvoraussetzungen nach § 56 StGB.</w:t>
      </w:r>
    </w:p>
    <w:p>
      <w:pPr>
        <w:pStyle w:val="ListNumber"/>
      </w:pPr>
      <w:r>
        <w:t>Vergleich mit BGH-Rechtsprechung zu Untreue-Schäden ähnlicher Größenordnung.</w:t>
      </w:r>
    </w:p>
    <w:p/>
    <w:p>
      <w:pPr>
        <w:pStyle w:val="Heading2"/>
      </w:pPr>
      <w:r>
        <w:rPr>
          <w:rFonts w:ascii="Times New Roman" w:hAnsi="Times New Roman"/>
        </w:rPr>
        <w:t>Kernargumente der Verteidigung</w:t>
      </w:r>
    </w:p>
    <w:p>
      <w:pPr>
        <w:pStyle w:val="Heading3"/>
      </w:pPr>
      <w:r>
        <w:rPr>
          <w:rFonts w:ascii="Times New Roman" w:hAnsi="Times New Roman"/>
        </w:rPr>
        <w:t>A. Geständnis (§ 46 Abs. 2 StGB)</w:t>
      </w:r>
    </w:p>
    <w:p>
      <w:pPr>
        <w:jc w:val="left"/>
      </w:pPr>
      <w:r>
        <w:t>Das Geständnis Bankerts am 22.10.2024 — noch vor Ermittlungsbeginn — ist nicht nur strafmildernd nach § 46 Abs. 2 StGB, sondern hat erhebliche prozessuale Bedeutung: Es ermöglichte die Aufklärung der vollständigen Schadensstruktur, die Rückverfolgung der Solarwind-Überweisungen und die Kooperation mit den liechtensteinischen Behörden. Ohne das Geständnis wäre der Schaden kaum vollständig bezifferbar gewesen.</w:t>
      </w:r>
    </w:p>
    <w:p>
      <w:pPr>
        <w:pStyle w:val="Heading3"/>
      </w:pPr>
      <w:r>
        <w:rPr>
          <w:rFonts w:ascii="Times New Roman" w:hAnsi="Times New Roman"/>
        </w:rPr>
        <w:t>B. Schadenswiedergutmachung § 46a StGB</w:t>
      </w:r>
    </w:p>
    <w:p>
      <w:pPr>
        <w:jc w:val="left"/>
      </w:pPr>
      <w:r>
        <w:t>Die Zahlung von 4,2 Mio. EUR stellt eine qualifizierte Schadenswiedergutmachung nach § 46a Nr. 1 StGB dar. Die Verteidigung wird ausführen:</w:t>
      </w:r>
    </w:p>
    <w:p>
      <w:pPr>
        <w:pStyle w:val="ListBullet"/>
      </w:pPr>
      <w:r>
        <w:t>Bankert hat sämtliches verfügbares Vermögen liquidiert (Immobilie, Depot, Lebensversicherungen, Ersparnisse).</w:t>
      </w:r>
    </w:p>
    <w:p>
      <w:pPr>
        <w:pStyle w:val="ListBullet"/>
      </w:pPr>
      <w:r>
        <w:t>Die Ehefrau Sandra Bankert hat auf ihren eigenen Anteil am Hauserlös (ca. 550.000 EUR eheliche Gemeinschaft) zugunsten der Wiedergutmachung verzichtet.</w:t>
      </w:r>
    </w:p>
    <w:p>
      <w:pPr>
        <w:pStyle w:val="ListBullet"/>
      </w:pPr>
      <w:r>
        <w:t>Die Kinder David und Lukas Bankert haben Studienkredite aufgenommen, um eigene Mittel freizusetzen.</w:t>
      </w:r>
    </w:p>
    <w:p>
      <w:pPr>
        <w:pStyle w:val="ListBullet"/>
      </w:pPr>
      <w:r>
        <w:t>Die Wiedergutmachung beträgt 46,7 % des Gesamtschadens — im Bereich der BGH-Anforderungen an eine "erhebliche" Wiedergutmachung.</w:t>
      </w:r>
    </w:p>
    <w:p>
      <w:pPr>
        <w:jc w:val="left"/>
      </w:pPr>
      <w:r>
        <w:t>Die Milderungsmöglichkeit nach § 46a StGB i.V.m. § 49 Abs. 1 StGB erlaubt eine Unterschreitung des Regelstrafrahmens: Der Mindeststrafrahmen von 1 Jahr sinkt auf 3 Monate; der Maximalstrafrahmen von 10 auf 7 Jahre 6 Monate.</w:t>
      </w:r>
    </w:p>
    <w:p>
      <w:pPr>
        <w:pStyle w:val="Heading3"/>
      </w:pPr>
      <w:r>
        <w:rPr>
          <w:rFonts w:ascii="Times New Roman" w:hAnsi="Times New Roman"/>
        </w:rPr>
        <w:t>C. Vorstrafenfreiheit</w:t>
      </w:r>
    </w:p>
    <w:p>
      <w:pPr>
        <w:jc w:val="left"/>
      </w:pPr>
      <w:r>
        <w:t>Bankert ist bislang vollständig straffrei. 54 Jahre ohne jede Vorstrafe ist nach der BGH-Rechtsprechung ein gewichtiges Strafmilderungsmoment, das besonders bei Ersttätern im Wirtschaftsstrafrecht erhebliches Gewicht hat (vgl. BGH NJW 2020, 2573).</w:t>
      </w:r>
    </w:p>
    <w:p>
      <w:pPr>
        <w:pStyle w:val="Heading3"/>
      </w:pPr>
      <w:r>
        <w:rPr>
          <w:rFonts w:ascii="Times New Roman" w:hAnsi="Times New Roman"/>
        </w:rPr>
        <w:t>D. Persönliche Folgen (§ 46 Abs. 2 StGB)</w:t>
      </w:r>
    </w:p>
    <w:p>
      <w:pPr>
        <w:pStyle w:val="ListBullet"/>
      </w:pPr>
      <w:r>
        <w:t>Verlust des Arbeitsplatzes und der beruflichen Reputation.</w:t>
      </w:r>
    </w:p>
    <w:p>
      <w:pPr>
        <w:pStyle w:val="ListBullet"/>
      </w:pPr>
      <w:r>
        <w:t>Drohende Berufsverbote.</w:t>
      </w:r>
    </w:p>
    <w:p>
      <w:pPr>
        <w:pStyle w:val="ListBullet"/>
      </w:pPr>
      <w:r>
        <w:t>Privatinsolvenz.</w:t>
      </w:r>
    </w:p>
    <w:p>
      <w:pPr>
        <w:pStyle w:val="ListBullet"/>
      </w:pPr>
      <w:r>
        <w:t>Ehefrau Sandra schwer herzerkrank (Warteliste für Transplantation); ihre Pflege wird durch eine Inhaftierung erheblich erschwert.</w:t>
      </w:r>
    </w:p>
    <w:p>
      <w:pPr>
        <w:pStyle w:val="ListBullet"/>
      </w:pPr>
      <w:r>
        <w:t>Kinder im Studium; finanzielle Versorgung durch Inhaftierung gefährdet.</w:t>
      </w:r>
    </w:p>
    <w:p>
      <w:pPr>
        <w:pStyle w:val="Heading3"/>
      </w:pPr>
      <w:r>
        <w:rPr>
          <w:rFonts w:ascii="Times New Roman" w:hAnsi="Times New Roman"/>
        </w:rPr>
        <w:t>E. Spielraum-Theorie und Schuldangemessenheit</w:t>
      </w:r>
    </w:p>
    <w:p>
      <w:pPr>
        <w:jc w:val="left"/>
      </w:pPr>
      <w:r>
        <w:t>Nach der Spielraum-Theorie (BGHSt 7, 28) ist der Tatrichter nicht auf eine "punktgenaue" Strafe verpflichtet, sondern darf sich im Spielraum schuldangemessener Strafen bewegen. Die Verteidigung argumentiert, dass eine Strafe von 2 Jahren und 6 Monaten noch innerhalb des schuldangemessenen Spielraums liegt:</w:t>
      </w:r>
    </w:p>
    <w:p>
      <w:pPr>
        <w:pStyle w:val="ListBullet"/>
      </w:pPr>
      <w:r>
        <w:t>Schadenshöhe: 9 Mio. EUR ist erheblich, aber durch 47 % Wiedergutmachung teilweise kompensiert.</w:t>
      </w:r>
    </w:p>
    <w:p>
      <w:pPr>
        <w:pStyle w:val="ListBullet"/>
      </w:pPr>
      <w:r>
        <w:t>Geständnis und Kooperation: Volle Aufklärungshilfe.</w:t>
      </w:r>
    </w:p>
    <w:p>
      <w:pPr>
        <w:pStyle w:val="ListBullet"/>
      </w:pPr>
      <w:r>
        <w:t>Kein konsumtiver Eigennutz: Bankert hat keine Luxusgüter oder privaten Ausgaben aus den Taterlösen finanziert.</w:t>
      </w:r>
    </w:p>
    <w:p/>
    <w:p>
      <w:pPr>
        <w:pStyle w:val="Heading2"/>
      </w:pPr>
      <w:r>
        <w:rPr>
          <w:rFonts w:ascii="Times New Roman" w:hAnsi="Times New Roman"/>
        </w:rPr>
        <w:t>Bewährungsantrag (§ 56 StGB)</w:t>
      </w:r>
    </w:p>
    <w:p>
      <w:pPr>
        <w:jc w:val="left"/>
      </w:pPr>
      <w:r>
        <w:t>Bei einer Strafe bis 2 Jahre: § 56 Abs. 1 StGB — günstige Sozialprognose gegeben (Ersttäter, Geständnis, Arbeitswillen).</w:t>
      </w:r>
    </w:p>
    <w:p>
      <w:pPr>
        <w:jc w:val="left"/>
      </w:pPr>
      <w:r>
        <w:t>Bei einer Strafe von 2 J 6 M: § 56 Abs. 2 StGB — besondere Umstände (§ 46a-Wiedergutmachung, kranke Ehefrau, Vorstrafenfreiheit).</w:t>
      </w:r>
    </w:p>
    <w:p>
      <w:pPr>
        <w:jc w:val="left"/>
      </w:pPr>
      <w:r>
        <w:t>Die Verteidigung beantragt hilfsweise für den Fall, dass das Gericht den Strafrahmen über 2 Jahre ansetzt, die Strafaussetzung nach § 56 Abs. 2 StGB mit folgenden Auflagen:</w:t>
      </w:r>
    </w:p>
    <w:p>
      <w:pPr>
        <w:pStyle w:val="ListNumber"/>
      </w:pPr>
      <w:r>
        <w:t>Zahlung weiterer Schadensersatzleistungen (monatliche Ratenzahlung 2.000 EUR an die Müller &amp; Schmitt GmbH, 5 Jahre).</w:t>
      </w:r>
    </w:p>
    <w:p>
      <w:pPr>
        <w:pStyle w:val="ListNumber"/>
      </w:pPr>
      <w:r>
        <w:t>Meldepflichten gegenüber der Bewährungshilfe.</w:t>
      </w:r>
    </w:p>
    <w:p>
      <w:pPr>
        <w:pStyle w:val="ListNumber"/>
      </w:pPr>
      <w:r>
        <w:t>Berufsverbot Treuhandwesen (freiwillig erklärt).</w:t>
      </w:r>
    </w:p>
    <w:p/>
    <w:p>
      <w:pPr>
        <w:jc w:val="left"/>
      </w:pPr>
      <w:r>
        <w:rPr>
          <w:b/>
        </w:rPr>
        <w:t>Quellen:</w:t>
      </w:r>
    </w:p>
    <w:p>
      <w:pPr>
        <w:pStyle w:val="ListBullet"/>
      </w:pPr>
      <w:r>
        <w:t>§ 46 StGB: https://dejure.org/gesetze/StGB/46.html</w:t>
      </w:r>
    </w:p>
    <w:p>
      <w:pPr>
        <w:pStyle w:val="ListBullet"/>
      </w:pPr>
      <w:r>
        <w:t>§ 46a StGB: https://dejure.org/gesetze/StGB/46a.html</w:t>
      </w:r>
    </w:p>
    <w:p>
      <w:pPr>
        <w:pStyle w:val="ListBullet"/>
      </w:pPr>
      <w:r>
        <w:t>§ 56 StGB: https://dejure.org/gesetze/StGB/56.html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