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Tatumstände — Konkrete Tat</w:t>
      </w:r>
    </w:p>
    <w:p>
      <w:pPr>
        <w:jc w:val="left"/>
      </w:pPr>
      <w:r>
        <w:rPr>
          <w:b/>
        </w:rPr>
        <w:t>Aktenzeichen:</w:t>
      </w:r>
      <w:r>
        <w:t xml:space="preserve"> LG Frankfurt 5-22 KLs 188/26</w:t>
      </w:r>
    </w:p>
    <w:p>
      <w:pPr>
        <w:jc w:val="left"/>
      </w:pPr>
      <w:r>
        <w:rPr>
          <w:b/>
        </w:rPr>
        <w:t>Bearbeitung:</w:t>
      </w:r>
      <w:r>
        <w:t xml:space="preserve"> Kanzlei Wittfeldt-Steinheim</w:t>
      </w:r>
    </w:p>
    <w:p>
      <w:pPr>
        <w:jc w:val="left"/>
      </w:pPr>
      <w:r>
        <w:rPr>
          <w:b/>
        </w:rPr>
        <w:t>Datum:</w:t>
      </w:r>
      <w:r>
        <w:t xml:space="preserve"> 16.03.2026</w:t>
      </w:r>
    </w:p>
    <w:p/>
    <w:p>
      <w:pPr>
        <w:pStyle w:val="Heading2"/>
      </w:pPr>
      <w:r>
        <w:rPr>
          <w:rFonts w:ascii="Times New Roman" w:hAnsi="Times New Roman"/>
        </w:rPr>
        <w:t>Konkrete Tatausführung</w:t>
      </w:r>
    </w:p>
    <w:p>
      <w:pPr>
        <w:pStyle w:val="Heading3"/>
      </w:pPr>
      <w:r>
        <w:rPr>
          <w:rFonts w:ascii="Times New Roman" w:hAnsi="Times New Roman"/>
        </w:rPr>
        <w:t>Tatmodus operandi</w:t>
      </w:r>
    </w:p>
    <w:p>
      <w:pPr>
        <w:jc w:val="left"/>
      </w:pPr>
      <w:r>
        <w:t>Bankert nutzte seine Prokuristen-Befugnis für Überweisungen bis 500.000 EUR ohne Zweitunterschrift. Der Tatmodus war in beiden Phasen ähnlich, wurde aber in Phase II professionalisiert:</w:t>
      </w:r>
    </w:p>
    <w:p>
      <w:pPr>
        <w:jc w:val="left"/>
      </w:pPr>
      <w:r>
        <w:rPr>
          <w:b/>
        </w:rPr>
        <w:t>Phase I (2020–2021): Einfache Überweisungen</w:t>
      </w:r>
    </w:p>
    <w:p>
      <w:pPr>
        <w:pStyle w:val="ListBullet"/>
      </w:pPr>
      <w:r>
        <w:t>Bankert rief direkt im E-Banking-System der Müller &amp; Schmitt GmbH an.</w:t>
      </w:r>
    </w:p>
    <w:p>
      <w:pPr>
        <w:pStyle w:val="ListBullet"/>
      </w:pPr>
      <w:r>
        <w:t>Empfänger: Solarwind Capital LP, LGT Bank, Vaduz.</w:t>
      </w:r>
    </w:p>
    <w:p>
      <w:pPr>
        <w:pStyle w:val="ListBullet"/>
      </w:pPr>
      <w:r>
        <w:t>Verwendungszwecke: Pauschale wie "Anlagemandat SCP-21A", "Servicegebühr international".</w:t>
      </w:r>
    </w:p>
    <w:p>
      <w:pPr>
        <w:pStyle w:val="ListBullet"/>
      </w:pPr>
      <w:r>
        <w:t>Buchhaltungsbeleg: Bankert erstellte selbst Buchungsbelege in der internen SAP-Umgebung.</w:t>
      </w:r>
    </w:p>
    <w:p>
      <w:pPr>
        <w:jc w:val="left"/>
      </w:pPr>
      <w:r>
        <w:rPr>
          <w:b/>
        </w:rPr>
        <w:t>Phase II (2022–2024): Vertiefung der Verschleierung</w:t>
      </w:r>
    </w:p>
    <w:p>
      <w:pPr>
        <w:pStyle w:val="ListBullet"/>
      </w:pPr>
      <w:r>
        <w:t>Bankert ließ sich von einem IT-affinen Bekannten (Name: Nils Frenzke, derzeit gesondert verfolgt) bei der Erstellung der Buchungsbelege helfen.</w:t>
      </w:r>
    </w:p>
    <w:p>
      <w:pPr>
        <w:pStyle w:val="ListBullet"/>
      </w:pPr>
      <w:r>
        <w:t>Es wurden Musterverträge zwischen der Müller &amp; Schmitt GmbH und der Solarwind Capital LP rückdatiert erstellt, um die Überweisungen nachzubelegen.</w:t>
      </w:r>
    </w:p>
    <w:p>
      <w:pPr>
        <w:pStyle w:val="ListBullet"/>
      </w:pPr>
      <w:r>
        <w:t>Die Rückdatierungen wurden durch Frenzke mit einer Methode zur Manipulation von Dokumentenmeta-Daten verschleiert.</w:t>
      </w:r>
    </w:p>
    <w:p/>
    <w:p>
      <w:pPr>
        <w:pStyle w:val="Heading2"/>
      </w:pPr>
      <w:r>
        <w:rPr>
          <w:rFonts w:ascii="Times New Roman" w:hAnsi="Times New Roman"/>
        </w:rPr>
        <w:t>Einzelne Tatakte</w:t>
      </w:r>
    </w:p>
    <w:p>
      <w:pPr>
        <w:pStyle w:val="Heading3"/>
      </w:pPr>
      <w:r>
        <w:rPr>
          <w:rFonts w:ascii="Times New Roman" w:hAnsi="Times New Roman"/>
        </w:rPr>
        <w:t>Exemplarische Einzeltaten (aus 110 Fällen)</w:t>
      </w:r>
    </w:p>
    <w:p>
      <w:pPr>
        <w:jc w:val="left"/>
      </w:pPr>
      <w:r>
        <w:rPr>
          <w:b/>
        </w:rPr>
        <w:t>Fall 1 (07.01.2020):</w:t>
      </w:r>
      <w:r>
        <w:t xml:space="preserve"> Überweisung 75.000 EUR. Verwendungszweck "Anlagemandat SCP-21A". Buchungsbeleg-Nr. MS-2020-0014.</w:t>
      </w:r>
    </w:p>
    <w:p>
      <w:pPr>
        <w:jc w:val="left"/>
      </w:pPr>
      <w:r>
        <w:rPr>
          <w:b/>
        </w:rPr>
        <w:t>Fall 23 (14.08.2021):</w:t>
      </w:r>
      <w:r>
        <w:t xml:space="preserve"> Überweisung 180.000 EUR. Verwendungszweck "Beratungshonorar Q2/2021". Falschbeleg erstellt 12.08.2021.</w:t>
      </w:r>
    </w:p>
    <w:p>
      <w:pPr>
        <w:jc w:val="left"/>
      </w:pPr>
      <w:r>
        <w:rPr>
          <w:b/>
        </w:rPr>
        <w:t>Fall 43 (08.01.2022):</w:t>
      </w:r>
      <w:r>
        <w:t xml:space="preserve"> Überweisung 220.000 EUR. Erster Fall mit Rückdatierungsmanipulation durch Frenzke.</w:t>
      </w:r>
    </w:p>
    <w:p>
      <w:pPr>
        <w:jc w:val="left"/>
      </w:pPr>
      <w:r>
        <w:rPr>
          <w:b/>
        </w:rPr>
        <w:t>Fall 87 (12.06.2023):</w:t>
      </w:r>
      <w:r>
        <w:t xml:space="preserve"> Überweisung 280.000 EUR — Einzelhöchstbetrag der gesamten Tatserie. Buchungsbeleg "Fondsgebühr Solarwind Alpha" — rückdatierter Rahmenvertrag vom 01.01.2022.</w:t>
      </w:r>
    </w:p>
    <w:p>
      <w:pPr>
        <w:jc w:val="left"/>
      </w:pPr>
      <w:r>
        <w:rPr>
          <w:b/>
        </w:rPr>
        <w:t>Fall 110 (03.10.2024):</w:t>
      </w:r>
      <w:r>
        <w:t xml:space="preserve"> Überweisung 190.000 EUR. Letzter Tatakt. Bankert wird bereits am 22.10.2024 konfrontiert.</w:t>
      </w:r>
    </w:p>
    <w:p/>
    <w:p>
      <w:pPr>
        <w:pStyle w:val="Heading2"/>
      </w:pPr>
      <w:r>
        <w:rPr>
          <w:rFonts w:ascii="Times New Roman" w:hAnsi="Times New Roman"/>
        </w:rPr>
        <w:t>Schadenseintritt und -entwicklung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Anzahl Überweisungen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Kumuliert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1.340.000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1.340.000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1.860.000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3.200.000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2.110.000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5.310.000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2.390.000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7.700.000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2024 (Jan–Okt)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1.300.000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9.000.000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Strafzumessungsrelevanz der konkreten Tatausführung</w:t>
      </w:r>
    </w:p>
    <w:p>
      <w:pPr>
        <w:jc w:val="left"/>
      </w:pPr>
      <w:r>
        <w:t>Die Art der Ausführung ist nach § 46 Abs. 2 StGB ausdrücklich zu berücksichtigen. Belastend wirken:</w:t>
      </w:r>
    </w:p>
    <w:p>
      <w:pPr>
        <w:pStyle w:val="ListBullet"/>
      </w:pPr>
      <w:r>
        <w:rPr>
          <w:b/>
        </w:rPr>
        <w:t>Planmäßigkeit:</w:t>
      </w:r>
      <w:r>
        <w:t xml:space="preserve"> Der Tatplan wurde über vier Jahre durchgehalten und angepasst.</w:t>
      </w:r>
    </w:p>
    <w:p>
      <w:pPr>
        <w:pStyle w:val="ListBullet"/>
      </w:pPr>
      <w:r>
        <w:rPr>
          <w:b/>
        </w:rPr>
        <w:t>Technische Verfeinerung:</w:t>
      </w:r>
      <w:r>
        <w:t xml:space="preserve"> In Phase II wurden Fälschungen professionalisiert.</w:t>
      </w:r>
    </w:p>
    <w:p>
      <w:pPr>
        <w:pStyle w:val="ListBullet"/>
      </w:pPr>
      <w:r>
        <w:rPr>
          <w:b/>
        </w:rPr>
        <w:t>Nutzung behilflicher Dritter:</w:t>
      </w:r>
      <w:r>
        <w:t xml:space="preserve"> Einbindung des IT-Spezialisten Frenzke erhöht das Maß der Pflichtwidrigkeit.</w:t>
      </w:r>
    </w:p>
    <w:p>
      <w:pPr>
        <w:pStyle w:val="ListBullet"/>
      </w:pPr>
      <w:r>
        <w:rPr>
          <w:b/>
        </w:rPr>
        <w:t>Anzahl und Kadenz:</w:t>
      </w:r>
      <w:r>
        <w:t xml:space="preserve"> 110 Überweisungen belegen keine impulsive, sondern eine willensgesteuerte Serientat.</w:t>
      </w:r>
    </w:p>
    <w:p>
      <w:pPr>
        <w:jc w:val="left"/>
      </w:pPr>
      <w:r>
        <w:t>Mildernd wirkt:</w:t>
      </w:r>
    </w:p>
    <w:p>
      <w:pPr>
        <w:pStyle w:val="ListBullet"/>
      </w:pPr>
      <w:r>
        <w:t>Kein physischer Schaden; kein Einsatz von Gewalt oder Drohung.</w:t>
      </w:r>
    </w:p>
    <w:p>
      <w:pPr>
        <w:pStyle w:val="ListBullet"/>
      </w:pPr>
      <w:r>
        <w:t>Die Opfer (Klienten der Müller &amp; Schmitt GmbH) sind gewerblich tätige Anleger, nicht schutzbedürftige Privatpersonen.</w:t>
      </w:r>
    </w:p>
    <w:p>
      <w:pPr>
        <w:pStyle w:val="ListBullet"/>
      </w:pPr>
      <w:r>
        <w:t>Bankert hat das Geld nicht für Luxuskonsum verwendet.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§ 46 Abs. 2 StGB: https://dejure.org/gesetze/StGB/46.html</w:t>
      </w:r>
    </w:p>
    <w:p>
      <w:pPr>
        <w:pStyle w:val="ListBullet"/>
      </w:pPr>
      <w:r>
        <w:t>§ 266 StGB: https://dejure.org/gesetze/StGB/266.html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