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Tatumstände — Vorsatz und Motivation</w:t>
      </w:r>
    </w:p>
    <w:p>
      <w:pPr>
        <w:jc w:val="left"/>
      </w:pPr>
      <w:r>
        <w:rPr>
          <w:b/>
        </w:rPr>
        <w:t>Aktenzeichen:</w:t>
      </w:r>
      <w:r>
        <w:t xml:space="preserve"> LG Frankfurt 5-22 KLs 188/26</w:t>
      </w:r>
    </w:p>
    <w:p>
      <w:pPr>
        <w:jc w:val="left"/>
      </w:pPr>
      <w:r>
        <w:rPr>
          <w:b/>
        </w:rPr>
        <w:t>Bearbeitung:</w:t>
      </w:r>
      <w:r>
        <w:t xml:space="preserve"> Kanzlei Wittfeldt-Steinheim</w:t>
      </w:r>
    </w:p>
    <w:p>
      <w:pPr>
        <w:jc w:val="left"/>
      </w:pPr>
      <w:r>
        <w:rPr>
          <w:b/>
        </w:rPr>
        <w:t>Datum:</w:t>
      </w:r>
      <w:r>
        <w:t xml:space="preserve"> 17.03.2026</w:t>
      </w:r>
    </w:p>
    <w:p/>
    <w:p>
      <w:pPr>
        <w:pStyle w:val="Heading2"/>
      </w:pPr>
      <w:r>
        <w:rPr>
          <w:rFonts w:ascii="Times New Roman" w:hAnsi="Times New Roman"/>
        </w:rPr>
        <w:t>Vorsatzform</w:t>
      </w:r>
    </w:p>
    <w:p>
      <w:pPr>
        <w:pStyle w:val="Heading3"/>
      </w:pPr>
      <w:r>
        <w:rPr>
          <w:rFonts w:ascii="Times New Roman" w:hAnsi="Times New Roman"/>
        </w:rPr>
        <w:t>Direkter Vorsatz (dolus directus 1. Grades)</w:t>
      </w:r>
    </w:p>
    <w:p>
      <w:pPr>
        <w:jc w:val="left"/>
      </w:pPr>
      <w:r>
        <w:t>Bankert handelte nach eigener Einlassung mit direktem Vorsatz (dolus directus 1. Grades). Er wusste und wollte, dass er als Prokurist Gelder auf eigene Konten umleitet, ohne Berechtigung der Müller &amp; Schmitt GmbH. Er erstrebte den Eintritt des Vermögensnachteils bei der GmbH — zumindest als notwendige Begleitfolge seines Handelns.</w:t>
      </w:r>
    </w:p>
    <w:p>
      <w:pPr>
        <w:jc w:val="left"/>
      </w:pPr>
      <w:r>
        <w:rPr>
          <w:b/>
        </w:rPr>
        <w:t>Einlassung Bankert (Hauptverhandlung 10.03.2026):</w:t>
      </w:r>
    </w:p>
    <w:p>
      <w:pPr>
        <w:ind w:left="567"/>
      </w:pPr>
      <w:r>
        <w:rPr>
          <w:i/>
        </w:rPr>
        <w:t>"Mir war von Anfang an klar, dass ich Geld wegleite, das mir nicht gehört. Ich habe mich damit getröstet, dass ich es zurückbringen wollte. Aber ich wusste, dass ich kein Recht dazu hatte."</w:t>
      </w:r>
    </w:p>
    <w:p>
      <w:pPr>
        <w:jc w:val="left"/>
      </w:pPr>
      <w:r>
        <w:t>Diese Einlassung belegt direkten Vorsatz. Bankert kann sich nicht auf verminderten Vorsatz berufen.</w:t>
      </w:r>
    </w:p>
    <w:p/>
    <w:p>
      <w:pPr>
        <w:pStyle w:val="Heading2"/>
      </w:pPr>
      <w:r>
        <w:rPr>
          <w:rFonts w:ascii="Times New Roman" w:hAnsi="Times New Roman"/>
        </w:rPr>
        <w:t>Motivation</w:t>
      </w:r>
    </w:p>
    <w:p>
      <w:pPr>
        <w:pStyle w:val="Heading3"/>
      </w:pPr>
      <w:r>
        <w:rPr>
          <w:rFonts w:ascii="Times New Roman" w:hAnsi="Times New Roman"/>
        </w:rPr>
        <w:t>Primärmotiv: Verlustausgleich aus Pflichtgefühl</w:t>
      </w:r>
    </w:p>
    <w:p>
      <w:pPr>
        <w:jc w:val="left"/>
      </w:pPr>
      <w:r>
        <w:t>Bankert schildert, sein primäres Motiv sei das Bemühen gewesen, einen 2018 entstandenen Verlust von 1,1 Mio. EUR im Klientenmandat Berufsgenossenschaft Handel auszugleichen. Er habe sich verpflichtet gefühlt, diesen Fehler ohne Beteiligung der Geschäftsführung zu bereinigen.</w:t>
      </w:r>
    </w:p>
    <w:p>
      <w:pPr>
        <w:jc w:val="left"/>
      </w:pPr>
      <w:r>
        <w:t>Die Verteidigung wertet dieses Motiv als strafzumessungsrelevant mildernd: Bankert handelte nicht aus reiner Gier oder Bereicherungssucht, sondern aus einem — wenn auch fehlgeleiteten — Pflichtgefühl heraus. Der BGH hat in vergleichbaren Fällen anerkannt, dass das Fehlen eigennütziger Bereicherung das Maß der Schuld beeinflusst (BGH NStZ 2014, 517).</w:t>
      </w:r>
    </w:p>
    <w:p>
      <w:pPr>
        <w:pStyle w:val="Heading3"/>
      </w:pPr>
      <w:r>
        <w:rPr>
          <w:rFonts w:ascii="Times New Roman" w:hAnsi="Times New Roman"/>
        </w:rPr>
        <w:t>Eskalationsmotiv: Verdeckung und Panik</w:t>
      </w:r>
    </w:p>
    <w:p>
      <w:pPr>
        <w:jc w:val="left"/>
      </w:pPr>
      <w:r>
        <w:t>Als die Solarwind Capital LP-Strategie ab 2022 scheiterte (Verlust der Tatphase-I-Mittel), handelte Bankert zunehmend aus Angst vor Aufdeckung. Die Eskalation in Phase II war nicht mehr durch ein positives Ziel getragen, sondern durch Panik und den Versuch, durch neue Mittel die alten Verluste auszugleichen.</w:t>
      </w:r>
    </w:p>
    <w:p>
      <w:pPr>
        <w:jc w:val="left"/>
      </w:pPr>
      <w:r>
        <w:rPr>
          <w:b/>
        </w:rPr>
        <w:t>Strafzumessungsrelevanz:</w:t>
      </w:r>
      <w:r>
        <w:t xml:space="preserve"> Das Eskalationsmotiv ist ambivalent. Es erklärt die Steigerung, aber das BGH hat klargestellt, dass ein Täter, der aus Aufdeckungsangst weiter handelt, sich nicht auf Schuldminderung berufen kann (BGH NStZ 2019, 207).</w:t>
      </w:r>
    </w:p>
    <w:p>
      <w:pPr>
        <w:pStyle w:val="Heading3"/>
      </w:pPr>
      <w:r>
        <w:rPr>
          <w:rFonts w:ascii="Times New Roman" w:hAnsi="Times New Roman"/>
        </w:rPr>
        <w:t>Persönliche Disposition</w:t>
      </w:r>
    </w:p>
    <w:p>
      <w:pPr>
        <w:jc w:val="left"/>
      </w:pPr>
      <w:r>
        <w:t>Aus dem psychiatrischen Kurzgutachten von Dr. Isabel Haesler (Sachverständige, Frankfurt, Gutachten vom 01.04.2026):</w:t>
      </w:r>
    </w:p>
    <w:p>
      <w:pPr>
        <w:pStyle w:val="ListBullet"/>
      </w:pPr>
      <w:r>
        <w:t>Keine psychische Erkrankung im Sinne von §§ 20, 21 StGB.</w:t>
      </w:r>
    </w:p>
    <w:p>
      <w:pPr>
        <w:pStyle w:val="ListBullet"/>
      </w:pPr>
      <w:r>
        <w:t>Ausgeprägte Kontrollillusion und Risikoverschätzung der eigenen Fähigkeiten ("Overconfidence Bias").</w:t>
      </w:r>
    </w:p>
    <w:p>
      <w:pPr>
        <w:pStyle w:val="ListBullet"/>
      </w:pPr>
      <w:r>
        <w:t>Keine pathologische Gier oder manische Episode.</w:t>
      </w:r>
    </w:p>
    <w:p>
      <w:pPr>
        <w:pStyle w:val="ListBullet"/>
      </w:pPr>
      <w:r>
        <w:t>Vollständige Schuldfähigkeit zum Tatzeitpunkt.</w:t>
      </w:r>
    </w:p>
    <w:p/>
    <w:p>
      <w:pPr>
        <w:pStyle w:val="Heading2"/>
      </w:pPr>
      <w:r>
        <w:rPr>
          <w:rFonts w:ascii="Times New Roman" w:hAnsi="Times New Roman"/>
        </w:rPr>
        <w:t>Strafzumessungserheblichkeit von Vorsatz und Motiv</w:t>
      </w:r>
    </w:p>
    <w:p>
      <w:pPr>
        <w:jc w:val="left"/>
      </w:pPr>
      <w:r>
        <w:t>Nach § 46 Abs. 2 StGB kommen namentlich in Betracht: "die Beweggründe und Ziele des Täters" sowie "die Gesinnung, die aus der Tat spricht, und der bei der Tat aufgewendete Wille".</w:t>
      </w:r>
    </w:p>
    <w:p>
      <w:pPr>
        <w:pStyle w:val="Heading3"/>
      </w:pPr>
      <w:r>
        <w:rPr>
          <w:rFonts w:ascii="Times New Roman" w:hAnsi="Times New Roman"/>
        </w:rPr>
        <w:t>Bewertungstabelle</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Aspekt</w:t>
            </w:r>
          </w:p>
        </w:tc>
        <w:tc>
          <w:tcPr>
            <w:tcW w:type="dxa" w:w="3024"/>
          </w:tcPr>
          <w:p>
            <w:r>
              <w:rPr>
                <w:rFonts w:ascii="Times New Roman" w:hAnsi="Times New Roman"/>
                <w:b/>
                <w:sz w:val="20"/>
              </w:rPr>
              <w:t>Belastend</w:t>
            </w:r>
          </w:p>
        </w:tc>
        <w:tc>
          <w:tcPr>
            <w:tcW w:type="dxa" w:w="3024"/>
          </w:tcPr>
          <w:p>
            <w:r>
              <w:rPr>
                <w:rFonts w:ascii="Times New Roman" w:hAnsi="Times New Roman"/>
                <w:b/>
                <w:sz w:val="20"/>
              </w:rPr>
              <w:t>Mildernd</w:t>
            </w:r>
          </w:p>
        </w:tc>
      </w:tr>
      <w:tr>
        <w:tc>
          <w:tcPr>
            <w:tcW w:type="dxa" w:w="3024"/>
          </w:tcPr>
          <w:p>
            <w:r>
              <w:rPr>
                <w:rFonts w:ascii="Times New Roman" w:hAnsi="Times New Roman"/>
                <w:sz w:val="20"/>
              </w:rPr>
              <w:t>Direkter Vorsatz</w:t>
            </w:r>
          </w:p>
        </w:tc>
        <w:tc>
          <w:tcPr>
            <w:tcW w:type="dxa" w:w="3024"/>
          </w:tcPr>
          <w:p>
            <w:r>
              <w:rPr>
                <w:rFonts w:ascii="Times New Roman" w:hAnsi="Times New Roman"/>
                <w:sz w:val="20"/>
              </w:rPr>
              <w:t>Ja (kein Eventualvorsatz-Privileg)</w:t>
            </w:r>
          </w:p>
        </w:tc>
        <w:tc>
          <w:tcPr>
            <w:tcW w:type="dxa" w:w="3024"/>
          </w:tcPr>
          <w:p>
            <w:r>
              <w:rPr>
                <w:rFonts w:ascii="Times New Roman" w:hAnsi="Times New Roman"/>
                <w:sz w:val="20"/>
              </w:rPr>
              <w:t>—</w:t>
            </w:r>
          </w:p>
        </w:tc>
      </w:tr>
      <w:tr>
        <w:tc>
          <w:tcPr>
            <w:tcW w:type="dxa" w:w="3024"/>
          </w:tcPr>
          <w:p>
            <w:r>
              <w:rPr>
                <w:rFonts w:ascii="Times New Roman" w:hAnsi="Times New Roman"/>
                <w:sz w:val="20"/>
              </w:rPr>
              <w:t>Kein Eigennutz-Konsum</w:t>
            </w:r>
          </w:p>
        </w:tc>
        <w:tc>
          <w:tcPr>
            <w:tcW w:type="dxa" w:w="3024"/>
          </w:tcPr>
          <w:p>
            <w:r>
              <w:rPr>
                <w:rFonts w:ascii="Times New Roman" w:hAnsi="Times New Roman"/>
                <w:sz w:val="20"/>
              </w:rPr>
              <w:t>—</w:t>
            </w:r>
          </w:p>
        </w:tc>
        <w:tc>
          <w:tcPr>
            <w:tcW w:type="dxa" w:w="3024"/>
          </w:tcPr>
          <w:p>
            <w:r>
              <w:rPr>
                <w:rFonts w:ascii="Times New Roman" w:hAnsi="Times New Roman"/>
                <w:sz w:val="20"/>
              </w:rPr>
              <w:t>Ja (kein Luxusgewinn)</w:t>
            </w:r>
          </w:p>
        </w:tc>
      </w:tr>
      <w:tr>
        <w:tc>
          <w:tcPr>
            <w:tcW w:type="dxa" w:w="3024"/>
          </w:tcPr>
          <w:p>
            <w:r>
              <w:rPr>
                <w:rFonts w:ascii="Times New Roman" w:hAnsi="Times New Roman"/>
                <w:sz w:val="20"/>
              </w:rPr>
              <w:t>Pflichtgefühl als Auslöser</w:t>
            </w:r>
          </w:p>
        </w:tc>
        <w:tc>
          <w:tcPr>
            <w:tcW w:type="dxa" w:w="3024"/>
          </w:tcPr>
          <w:p>
            <w:r>
              <w:rPr>
                <w:rFonts w:ascii="Times New Roman" w:hAnsi="Times New Roman"/>
                <w:sz w:val="20"/>
              </w:rPr>
              <w:t>—</w:t>
            </w:r>
          </w:p>
        </w:tc>
        <w:tc>
          <w:tcPr>
            <w:tcW w:type="dxa" w:w="3024"/>
          </w:tcPr>
          <w:p>
            <w:r>
              <w:rPr>
                <w:rFonts w:ascii="Times New Roman" w:hAnsi="Times New Roman"/>
                <w:sz w:val="20"/>
              </w:rPr>
              <w:t>Ja (Motiv, nicht Habgier)</w:t>
            </w:r>
          </w:p>
        </w:tc>
      </w:tr>
      <w:tr>
        <w:tc>
          <w:tcPr>
            <w:tcW w:type="dxa" w:w="3024"/>
          </w:tcPr>
          <w:p>
            <w:r>
              <w:rPr>
                <w:rFonts w:ascii="Times New Roman" w:hAnsi="Times New Roman"/>
                <w:sz w:val="20"/>
              </w:rPr>
              <w:t>Eskalation aus Panik</w:t>
            </w:r>
          </w:p>
        </w:tc>
        <w:tc>
          <w:tcPr>
            <w:tcW w:type="dxa" w:w="3024"/>
          </w:tcPr>
          <w:p>
            <w:r>
              <w:rPr>
                <w:rFonts w:ascii="Times New Roman" w:hAnsi="Times New Roman"/>
                <w:sz w:val="20"/>
              </w:rPr>
              <w:t>Ja (Verschlechterung über Zeit)</w:t>
            </w:r>
          </w:p>
        </w:tc>
        <w:tc>
          <w:tcPr>
            <w:tcW w:type="dxa" w:w="3024"/>
          </w:tcPr>
          <w:p>
            <w:r>
              <w:rPr>
                <w:rFonts w:ascii="Times New Roman" w:hAnsi="Times New Roman"/>
                <w:sz w:val="20"/>
              </w:rPr>
              <w:t>—</w:t>
            </w:r>
          </w:p>
        </w:tc>
      </w:tr>
      <w:tr>
        <w:tc>
          <w:tcPr>
            <w:tcW w:type="dxa" w:w="3024"/>
          </w:tcPr>
          <w:p>
            <w:r>
              <w:rPr>
                <w:rFonts w:ascii="Times New Roman" w:hAnsi="Times New Roman"/>
                <w:sz w:val="20"/>
              </w:rPr>
              <w:t>Vollständige Schuldfähigkeit</w:t>
            </w:r>
          </w:p>
        </w:tc>
        <w:tc>
          <w:tcPr>
            <w:tcW w:type="dxa" w:w="3024"/>
          </w:tcPr>
          <w:p>
            <w:r>
              <w:rPr>
                <w:rFonts w:ascii="Times New Roman" w:hAnsi="Times New Roman"/>
                <w:sz w:val="20"/>
              </w:rPr>
              <w:t>Neutral</w:t>
            </w:r>
          </w:p>
        </w:tc>
        <w:tc>
          <w:tcPr>
            <w:tcW w:type="dxa" w:w="3024"/>
          </w:tcPr>
          <w:p>
            <w:r>
              <w:rPr>
                <w:rFonts w:ascii="Times New Roman" w:hAnsi="Times New Roman"/>
                <w:sz w:val="20"/>
              </w:rPr>
              <w:t>—</w:t>
            </w:r>
          </w:p>
        </w:tc>
      </w:tr>
      <w:tr>
        <w:tc>
          <w:tcPr>
            <w:tcW w:type="dxa" w:w="3024"/>
          </w:tcPr>
          <w:p>
            <w:r>
              <w:rPr>
                <w:rFonts w:ascii="Times New Roman" w:hAnsi="Times New Roman"/>
                <w:sz w:val="20"/>
              </w:rPr>
              <w:t>Frühes Geständnis, Reue</w:t>
            </w:r>
          </w:p>
        </w:tc>
        <w:tc>
          <w:tcPr>
            <w:tcW w:type="dxa" w:w="3024"/>
          </w:tcPr>
          <w:p>
            <w:r>
              <w:rPr>
                <w:rFonts w:ascii="Times New Roman" w:hAnsi="Times New Roman"/>
                <w:sz w:val="20"/>
              </w:rPr>
              <w:t>—</w:t>
            </w:r>
          </w:p>
        </w:tc>
        <w:tc>
          <w:tcPr>
            <w:tcW w:type="dxa" w:w="3024"/>
          </w:tcPr>
          <w:p>
            <w:r>
              <w:rPr>
                <w:rFonts w:ascii="Times New Roman" w:hAnsi="Times New Roman"/>
                <w:sz w:val="20"/>
              </w:rPr>
              <w:t>Ja (§ 46 Abs. 2 StGB)</w:t>
            </w:r>
          </w:p>
        </w:tc>
      </w:tr>
    </w:tbl>
    <w:p/>
    <w:p>
      <w:pPr>
        <w:pStyle w:val="Heading2"/>
      </w:pPr>
      <w:r>
        <w:rPr>
          <w:rFonts w:ascii="Times New Roman" w:hAnsi="Times New Roman"/>
        </w:rPr>
        <w:t>Zwischenergebnis</w:t>
      </w:r>
    </w:p>
    <w:p>
      <w:pPr>
        <w:jc w:val="left"/>
      </w:pPr>
      <w:r>
        <w:t>Die Vorsatzform und Motivation ergeben ein gemischtes Bild: Voller Vorsatz belastet erheblich; das nicht-konsumtive, ursprünglich pflichtgetriebene Motiv mildert hingegen. Gesamtergebnis: Die Motivlage rechtfertigt keine erhebliche Strafschärfung, unterstützt aber auch keine außerordentliche Milderung. Die Strafzumessungsschuld liegt im mittleren Bereich des § 266 Abs. 2 StGB-Rahmens.</w:t>
      </w:r>
    </w:p>
    <w:p>
      <w:pPr>
        <w:jc w:val="left"/>
      </w:pPr>
      <w:r>
        <w:rPr>
          <w:b/>
        </w:rPr>
        <w:t>Quelle § 46 StGB:</w:t>
      </w:r>
      <w:r>
        <w:t xml:space="preserve"> https://dejure.org/gesetze/StGB/46.html</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