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Tat- und Täterpersönlichkeit</w:t>
      </w:r>
    </w:p>
    <w:p>
      <w:pPr>
        <w:jc w:val="left"/>
      </w:pPr>
      <w:r>
        <w:rPr>
          <w:b/>
        </w:rPr>
        <w:t>Aktenzeichen:</w:t>
      </w:r>
      <w:r>
        <w:t xml:space="preserve"> LG Frankfurt 5-22 KLs 188/26</w:t>
      </w:r>
    </w:p>
    <w:p>
      <w:pPr>
        <w:jc w:val="left"/>
      </w:pPr>
      <w:r>
        <w:rPr>
          <w:b/>
        </w:rPr>
        <w:t>Bearbeitung:</w:t>
      </w:r>
      <w:r>
        <w:t xml:space="preserve"> Kanzlei Wittfeldt-Steinheim</w:t>
      </w:r>
    </w:p>
    <w:p>
      <w:pPr>
        <w:jc w:val="left"/>
      </w:pPr>
      <w:r>
        <w:rPr>
          <w:b/>
        </w:rPr>
        <w:t>Datum:</w:t>
      </w:r>
      <w:r>
        <w:t xml:space="preserve"> 18.03.2026</w:t>
      </w:r>
    </w:p>
    <w:p/>
    <w:p>
      <w:pPr>
        <w:pStyle w:val="Heading2"/>
      </w:pPr>
      <w:r>
        <w:rPr>
          <w:rFonts w:ascii="Times New Roman" w:hAnsi="Times New Roman"/>
        </w:rPr>
        <w:t>Persönlichkeitsprofil Konrad Bankert</w:t>
      </w:r>
    </w:p>
    <w:p>
      <w:pPr>
        <w:pStyle w:val="Heading3"/>
      </w:pPr>
      <w:r>
        <w:rPr>
          <w:rFonts w:ascii="Times New Roman" w:hAnsi="Times New Roman"/>
        </w:rPr>
        <w:t>Soziodemographische 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Merkmal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Angabe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Name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Konrad Franz Bankert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Geburtsdatum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17.09.1971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Geburtsort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Dortmund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Wohnort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(bis Verhaftung) Sachsenhäuser Ufer 22, 60594 Frankfurt am Main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Familienstand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Verheiratet seit 1999 mit Sandra Bankert, geb. Rohrmann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Kinder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David Bankert (geb. 1998), Lukas Bankert (geb. 2003)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Schulabschluss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Abitur 1991 (Otto-Hahn-Gymnasium, Dortmund)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Studium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Betriebswirtschaftslehre, Universität Münster, Abschluss 1996, Note: gut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Berufsqualifikation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Steuerberater-Examen 1999; Certified Trustee (STEP, London) 2004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Berufliche Karriere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Zeitraum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Unternehmen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1996–2000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Steuerberater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Kanzlei Brandt &amp; Hessler, Dortmund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2000–2004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Senior Associate Treuhand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Deloitte Trustee Services GmbH, Frankfurt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2004–2008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Associate Director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BDO Trust GmbH, Frankfurt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2008–2024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Prokurist, Bereichsleiter Kapitalanlage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Müller &amp; Schmitt Treuhand GmbH, Frankfurt</w:t>
            </w:r>
          </w:p>
        </w:tc>
      </w:tr>
    </w:tbl>
    <w:p>
      <w:pPr>
        <w:jc w:val="left"/>
      </w:pPr>
      <w:r>
        <w:t>Bankert war in der Branche als kompetenter und verlässlicher Fachmann angesehen. Er hielt Vorträge bei Steuerberater-Verbänden und war Mitglied im Fachausschuss Treuhandrecht des Deutschen Steuerberaterverbands (DStV).</w:t>
      </w:r>
    </w:p>
    <w:p/>
    <w:p>
      <w:pPr>
        <w:pStyle w:val="Heading2"/>
      </w:pPr>
      <w:r>
        <w:rPr>
          <w:rFonts w:ascii="Times New Roman" w:hAnsi="Times New Roman"/>
        </w:rPr>
        <w:t>Soziales Umfeld</w:t>
      </w:r>
    </w:p>
    <w:p>
      <w:pPr>
        <w:pStyle w:val="Heading3"/>
      </w:pPr>
      <w:r>
        <w:rPr>
          <w:rFonts w:ascii="Times New Roman" w:hAnsi="Times New Roman"/>
        </w:rPr>
        <w:t>Familie</w:t>
      </w:r>
    </w:p>
    <w:p>
      <w:pPr>
        <w:pStyle w:val="ListBullet"/>
      </w:pPr>
      <w:r>
        <w:rPr>
          <w:b/>
        </w:rPr>
        <w:t>Ehefrau Sandra Bankert</w:t>
      </w:r>
      <w:r>
        <w:t xml:space="preserve"> (geb. 1973): Grundschullehrerin (Pensionierung 2022 aus gesundheitlichen Gründen); seit 2023 schwere Herzerkrankung (dilatativer Kardiomyopathie); steht auf der Transplantationswarteliste des Universitätsklinikums Frankfurt. Ihre medizinische Versorgung erfordert kontinuierliche Begleitung.</w:t>
      </w:r>
    </w:p>
    <w:p>
      <w:pPr>
        <w:pStyle w:val="ListBullet"/>
      </w:pPr>
      <w:r>
        <w:rPr>
          <w:b/>
        </w:rPr>
        <w:t>Sohn David Bankert</w:t>
      </w:r>
      <w:r>
        <w:t xml:space="preserve"> (26): Master-Student Betriebswirtschaft, Goethe-Universität Frankfurt; BAföG-berechtigt; hat nach Aufdeckung der Tat einen Studienkredit (18.000 EUR) aufgenommen und dem Vater für die Wiedergutmachung zur Verfügung gestellt.</w:t>
      </w:r>
    </w:p>
    <w:p>
      <w:pPr>
        <w:pStyle w:val="ListBullet"/>
      </w:pPr>
      <w:r>
        <w:rPr>
          <w:b/>
        </w:rPr>
        <w:t>Sohn Lukas Bankert</w:t>
      </w:r>
      <w:r>
        <w:t xml:space="preserve"> (23): Master-Student Informatik, TU Darmstadt; eigenständig; hat ebenfalls Studienkredit (12.000 EUR) für die Wiedergutmachung bereitgestellt.</w:t>
      </w:r>
    </w:p>
    <w:p>
      <w:pPr>
        <w:pStyle w:val="Heading3"/>
      </w:pPr>
      <w:r>
        <w:rPr>
          <w:rFonts w:ascii="Times New Roman" w:hAnsi="Times New Roman"/>
        </w:rPr>
        <w:t>Soziales Netzwerk</w:t>
      </w:r>
    </w:p>
    <w:p>
      <w:pPr>
        <w:pStyle w:val="ListBullet"/>
      </w:pPr>
      <w:r>
        <w:t>Ehrenamtliches Engagement: Vorsitzender Sportverein TSG Sachsenhausen (Sparte Handball) bis 2024; Mitglied Kirchengemeinde St. Johann, Frankfurt-Sachsenhausen.</w:t>
      </w:r>
    </w:p>
    <w:p>
      <w:pPr>
        <w:pStyle w:val="ListBullet"/>
      </w:pPr>
      <w:r>
        <w:t>Bekanntenkreis bestätigt durchgängig: Bankert galt als sozial engagiert, hilfsbereit und integer.</w:t>
      </w:r>
    </w:p>
    <w:p/>
    <w:p>
      <w:pPr>
        <w:pStyle w:val="Heading2"/>
      </w:pPr>
      <w:r>
        <w:rPr>
          <w:rFonts w:ascii="Times New Roman" w:hAnsi="Times New Roman"/>
        </w:rPr>
        <w:t>Täterpersönlichkeit im strafzumessungsrechtlichen Kontext</w:t>
      </w:r>
    </w:p>
    <w:p>
      <w:pPr>
        <w:pStyle w:val="Heading3"/>
      </w:pPr>
      <w:r>
        <w:rPr>
          <w:rFonts w:ascii="Times New Roman" w:hAnsi="Times New Roman"/>
        </w:rPr>
        <w:t>§ 46 Abs. 2 StGB — "Vorleben, persönliche und wirtschaftliche Verhältnisse"</w:t>
      </w:r>
    </w:p>
    <w:p>
      <w:pPr>
        <w:jc w:val="left"/>
      </w:pPr>
      <w:r>
        <w:t>Die Täterpersönlichkeit Bankerts ist vielschichtig:</w:t>
      </w:r>
    </w:p>
    <w:p>
      <w:pPr>
        <w:jc w:val="left"/>
      </w:pPr>
      <w:r>
        <w:rPr>
          <w:b/>
        </w:rPr>
        <w:t>Positive Aspekte:</w:t>
      </w:r>
    </w:p>
    <w:p>
      <w:pPr>
        <w:pStyle w:val="ListBullet"/>
      </w:pPr>
      <w:r>
        <w:t>Makelloser beruflicher Werdegang über 28 Jahre.</w:t>
      </w:r>
    </w:p>
    <w:p>
      <w:pPr>
        <w:pStyle w:val="ListBullet"/>
      </w:pPr>
      <w:r>
        <w:t>Keine Vorstrafen, keine Disziplinarverfahren.</w:t>
      </w:r>
    </w:p>
    <w:p>
      <w:pPr>
        <w:pStyle w:val="ListBullet"/>
      </w:pPr>
      <w:r>
        <w:t>Stabiles Familienleben und Ehrenamt.</w:t>
      </w:r>
    </w:p>
    <w:p>
      <w:pPr>
        <w:pStyle w:val="ListBullet"/>
      </w:pPr>
      <w:r>
        <w:t>Echte Reue und Bereitschaft zur Wiedergutmachung.</w:t>
      </w:r>
    </w:p>
    <w:p>
      <w:pPr>
        <w:jc w:val="left"/>
      </w:pPr>
      <w:r>
        <w:rPr>
          <w:b/>
        </w:rPr>
        <w:t>Negative Aspekte (Tat-bezogen):</w:t>
      </w:r>
    </w:p>
    <w:p>
      <w:pPr>
        <w:pStyle w:val="ListBullet"/>
      </w:pPr>
      <w:r>
        <w:t>Die Tat ist kein einmaliger Ausrutscher, sondern eine über vier Jahre durchgehaltene Entscheidung.</w:t>
      </w:r>
    </w:p>
    <w:p>
      <w:pPr>
        <w:pStyle w:val="ListBullet"/>
      </w:pPr>
      <w:r>
        <w:t>Die "Overconfidence"-Disposition (Dr. Haesler, psychiatrisches Kurzgutachten) erklärt die Eskalation, mildert sie aber nicht.</w:t>
      </w:r>
    </w:p>
    <w:p>
      <w:pPr>
        <w:pStyle w:val="Heading3"/>
      </w:pPr>
      <w:r>
        <w:rPr>
          <w:rFonts w:ascii="Times New Roman" w:hAnsi="Times New Roman"/>
        </w:rPr>
        <w:t>Zwischenfazit</w:t>
      </w:r>
    </w:p>
    <w:p>
      <w:pPr>
        <w:jc w:val="left"/>
      </w:pPr>
      <w:r>
        <w:t>Die Täterpersönlichkeit Bankerts ist von der Tat nicht vollständig einzufangen. Er ist eine Persönlichkeit, die über Jahrzehnte integer war und durch eine — wenn auch verwerfliche — Fehlentscheidung, gepaart mit Panik und Eskalation, erheblichen Schaden angerichtet hat. Dieser Befund ist für die Strafzumessung nach § 46 Abs. 2 StGB ein durchgehender Milderungsgrund.</w:t>
      </w:r>
    </w:p>
    <w:p>
      <w:pPr>
        <w:jc w:val="left"/>
      </w:pPr>
      <w:r>
        <w:rPr>
          <w:b/>
        </w:rPr>
        <w:t>Quelle § 46 Abs. 2 StGB:</w:t>
      </w:r>
      <w:r>
        <w:t xml:space="preserve"> https://dejure.org/gesetze/StGB/46.html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