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Folgen für Täter und Familie</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19.03.2026</w:t>
      </w:r>
    </w:p>
    <w:p/>
    <w:p>
      <w:pPr>
        <w:pStyle w:val="Heading2"/>
      </w:pPr>
      <w:r>
        <w:rPr>
          <w:rFonts w:ascii="Times New Roman" w:hAnsi="Times New Roman"/>
        </w:rPr>
        <w:t>Überblick</w:t>
      </w:r>
    </w:p>
    <w:p>
      <w:pPr>
        <w:jc w:val="left"/>
      </w:pPr>
      <w:r>
        <w:t>§ 46 Abs. 2 StGB nennt ausdrücklich die "persönlichen und wirtschaftlichen Verhältnisse" des Täters sowie die "verschuldeten Auswirkungen der Tat" als Strafzumessungskriterien. Die Folgen für Bankert und seine Familie sind außergewöhnlich schwerwiegend und überschreiten das bei Wirtschaftsstrafsachen typische Maß erheblich.</w:t>
      </w:r>
    </w:p>
    <w:p/>
    <w:p>
      <w:pPr>
        <w:pStyle w:val="Heading2"/>
      </w:pPr>
      <w:r>
        <w:rPr>
          <w:rFonts w:ascii="Times New Roman" w:hAnsi="Times New Roman"/>
        </w:rPr>
        <w:t>Folgen für Konrad Bankert persönlich</w:t>
      </w:r>
    </w:p>
    <w:p>
      <w:pPr>
        <w:pStyle w:val="Heading3"/>
      </w:pPr>
      <w:r>
        <w:rPr>
          <w:rFonts w:ascii="Times New Roman" w:hAnsi="Times New Roman"/>
        </w:rPr>
        <w:t>Beruflich</w:t>
      </w:r>
    </w:p>
    <w:p>
      <w:pPr>
        <w:pStyle w:val="ListBullet"/>
      </w:pPr>
      <w:r>
        <w:t>Sofortige Kündigung durch Müller &amp; Schmitt Treuhand GmbH am 22.10.2024.</w:t>
      </w:r>
    </w:p>
    <w:p>
      <w:pPr>
        <w:pStyle w:val="ListBullet"/>
      </w:pPr>
      <w:r>
        <w:t>Widerruf der Prokura am 22.10.2024.</w:t>
      </w:r>
    </w:p>
    <w:p>
      <w:pPr>
        <w:pStyle w:val="ListBullet"/>
      </w:pPr>
      <w:r>
        <w:t>Berufsverbot: Die Steuerberaterkammer Frankfurt hat das Berufszulassungsverfahren gemäß § 46 Abs. 2 Nr. 3 StBerG eingeleitet; voraussichtlich Berufsausschluss.</w:t>
      </w:r>
    </w:p>
    <w:p>
      <w:pPr>
        <w:pStyle w:val="ListBullet"/>
      </w:pPr>
      <w:r>
        <w:t>STEP-Zertifikat: Entzug des Certified Trustee-Titels durch STEP International am 15.11.2024.</w:t>
      </w:r>
    </w:p>
    <w:p>
      <w:pPr>
        <w:pStyle w:val="ListBullet"/>
      </w:pPr>
      <w:r>
        <w:t>Bankert wird nie wieder in seinem Berufsfeld arbeiten können.</w:t>
      </w:r>
    </w:p>
    <w:p>
      <w:pPr>
        <w:pStyle w:val="Heading3"/>
      </w:pPr>
      <w:r>
        <w:rPr>
          <w:rFonts w:ascii="Times New Roman" w:hAnsi="Times New Roman"/>
        </w:rPr>
        <w:t>Finanziell</w:t>
      </w:r>
    </w:p>
    <w:p>
      <w:pPr>
        <w:pStyle w:val="ListBullet"/>
      </w:pPr>
      <w:r>
        <w:t>Privatinsolvenz beantragt November 2024; Insolvenzverfahren eröffnet.</w:t>
      </w:r>
    </w:p>
    <w:p>
      <w:pPr>
        <w:pStyle w:val="ListBullet"/>
      </w:pPr>
      <w:r>
        <w:t>Sämtliches Vermögen liquidiert für Wiedergutmachung (4,2 Mio. EUR).</w:t>
      </w:r>
    </w:p>
    <w:p>
      <w:pPr>
        <w:pStyle w:val="ListBullet"/>
      </w:pPr>
      <w:r>
        <w:t>Aktuell: kein Einkommen, keine Ersparnisse, keine Altersvorsorge.</w:t>
      </w:r>
    </w:p>
    <w:p>
      <w:pPr>
        <w:pStyle w:val="ListBullet"/>
      </w:pPr>
      <w:r>
        <w:t>Rentenversicherungsansprüche: Voraussichtliche Rente ca. 1.100 EUR/Monat (nach 28 Berufsjahren).</w:t>
      </w:r>
    </w:p>
    <w:p>
      <w:pPr>
        <w:pStyle w:val="Heading3"/>
      </w:pPr>
      <w:r>
        <w:rPr>
          <w:rFonts w:ascii="Times New Roman" w:hAnsi="Times New Roman"/>
        </w:rPr>
        <w:t>Gesundheitlich</w:t>
      </w:r>
    </w:p>
    <w:p>
      <w:pPr>
        <w:pStyle w:val="ListBullet"/>
      </w:pPr>
      <w:r>
        <w:t>Psychiatrisches Gutachten (Dr. Haesler, 01.04.2026): Reaktive Depression (ICD-10 F32.1) seit Oktober 2024; medikamentös behandelt in der JVA Frankfurt I.</w:t>
      </w:r>
    </w:p>
    <w:p>
      <w:pPr>
        <w:pStyle w:val="ListBullet"/>
      </w:pPr>
      <w:r>
        <w:t>Schlafstörungen, Gewichtsverlust (12 kg seit Oktober 2024).</w:t>
      </w:r>
    </w:p>
    <w:p>
      <w:pPr>
        <w:pStyle w:val="ListBullet"/>
      </w:pPr>
      <w:r>
        <w:t>Suizidalität verneint.</w:t>
      </w:r>
    </w:p>
    <w:p>
      <w:pPr>
        <w:pStyle w:val="Heading3"/>
      </w:pPr>
      <w:r>
        <w:rPr>
          <w:rFonts w:ascii="Times New Roman" w:hAnsi="Times New Roman"/>
        </w:rPr>
        <w:t>Freiheitsentzug</w:t>
      </w:r>
    </w:p>
    <w:p>
      <w:pPr>
        <w:jc w:val="left"/>
      </w:pPr>
      <w:r>
        <w:t>Bankert befindet sich seit 19.01.2026 in Untersuchungshaft in der JVA Frankfurt I. Die Haftbedingungen sind hart; er teilt eine Zelle mit einem Mitgefangenen; die Besuchszeiten für Sandra Bankert sind aufgrund deren Herzerkrankung auf ein Minimum begrenzt (begleiteter Besuch mit Rollstuhl, 1x pro Woche).</w:t>
      </w:r>
    </w:p>
    <w:p/>
    <w:p>
      <w:pPr>
        <w:pStyle w:val="Heading2"/>
      </w:pPr>
      <w:r>
        <w:rPr>
          <w:rFonts w:ascii="Times New Roman" w:hAnsi="Times New Roman"/>
        </w:rPr>
        <w:t>Folgen für die Familie</w:t>
      </w:r>
    </w:p>
    <w:p>
      <w:pPr>
        <w:pStyle w:val="Heading3"/>
      </w:pPr>
      <w:r>
        <w:rPr>
          <w:rFonts w:ascii="Times New Roman" w:hAnsi="Times New Roman"/>
        </w:rPr>
        <w:t>Ehefrau Sandra Bankert</w:t>
      </w:r>
    </w:p>
    <w:p>
      <w:pPr>
        <w:jc w:val="left"/>
      </w:pPr>
      <w:r>
        <w:t>Sandra Bankert (52) leidet an dilatativer Kardiomyopathie (schwere Herzerkrankung) und steht auf der Transplantationswarteliste des Universitätsklinikums Frankfurt seit August 2024 (Dringlichkeitsstufe: dringlich / T-HU). Ihre Lebenserwartung ohne Transplantation: unter 3 Jahre (Facharztbericht Prof. Dr. Gerhard Müller-Karst, Kardiologe, UKF, Datum 12.01.2026).</w:t>
      </w:r>
    </w:p>
    <w:p>
      <w:pPr>
        <w:jc w:val="left"/>
      </w:pPr>
      <w:r>
        <w:t>Die Inhaftierung Bankerts bedeutet:</w:t>
      </w:r>
    </w:p>
    <w:p>
      <w:pPr>
        <w:pStyle w:val="ListBullet"/>
      </w:pPr>
      <w:r>
        <w:t>Wegfall der täglichen Pflege und Begleitung durch Bankert.</w:t>
      </w:r>
    </w:p>
    <w:p>
      <w:pPr>
        <w:pStyle w:val="ListBullet"/>
      </w:pPr>
      <w:r>
        <w:t>Sandra Bankert lebt nun allein in einer kleinen Mietwohnung (nach Hausverkauf); Pflege durch ambulanten Pflegedienst (3x täglich; Kosten ca. 2.800 EUR/Monat; finanziert durch Pflegestufe 3).</w:t>
      </w:r>
    </w:p>
    <w:p>
      <w:pPr>
        <w:pStyle w:val="ListBullet"/>
      </w:pPr>
      <w:r>
        <w:t>Die emotionale Belastung durch Verhaftung und Urteil hat nach ärztlichem Attest die Herzerkrankung verschlechtert.</w:t>
      </w:r>
    </w:p>
    <w:p>
      <w:pPr>
        <w:pStyle w:val="Heading3"/>
      </w:pPr>
      <w:r>
        <w:rPr>
          <w:rFonts w:ascii="Times New Roman" w:hAnsi="Times New Roman"/>
        </w:rPr>
        <w:t>Söhne</w:t>
      </w:r>
    </w:p>
    <w:p>
      <w:pPr>
        <w:pStyle w:val="ListBullet"/>
      </w:pPr>
      <w:r>
        <w:rPr>
          <w:b/>
        </w:rPr>
        <w:t>David Bankert (26):</w:t>
      </w:r>
      <w:r>
        <w:t xml:space="preserve"> Studienkredit aufgenommen; Studienabschluss verzögert; psychologische Beratung begonnen.</w:t>
      </w:r>
    </w:p>
    <w:p>
      <w:pPr>
        <w:pStyle w:val="ListBullet"/>
      </w:pPr>
      <w:r>
        <w:rPr>
          <w:b/>
        </w:rPr>
        <w:t>Lukas Bankert (23):</w:t>
      </w:r>
      <w:r>
        <w:t xml:space="preserve"> Studienkredit aufgenommen; übernimmt seit Oktober 2024 die Koordination der Mutterpflege neben dem Studium.</w:t>
      </w:r>
    </w:p>
    <w:p/>
    <w:p>
      <w:pPr>
        <w:pStyle w:val="Heading2"/>
      </w:pPr>
      <w:r>
        <w:rPr>
          <w:rFonts w:ascii="Times New Roman" w:hAnsi="Times New Roman"/>
        </w:rPr>
        <w:t>Strafzumessungsrechtliche Würdigung</w:t>
      </w:r>
    </w:p>
    <w:p>
      <w:pPr>
        <w:jc w:val="left"/>
      </w:pPr>
      <w:r>
        <w:t>Der BGH hat in ständiger Rechtsprechung betont, dass erhebliche außertatliche Belastungen — insbesondere schwere Erkrankungen naher Angehöriger — bei der Strafzumessung zu berücksichtigen sind (BGH NStZ-RR 2016, 204; BGH NJW 2015, 1824). Die lebensbedrohliche Erkrankung der Ehefrau und die Pflegebedürftigkeit sind strafmildernd zu werten. Die Strafzumessungsschuld wird dadurch zwar nicht gemindert, aber die individuellen Folgen der Strafverbüßung sind außergewöhnlich, was bei der Strafzumessung und der Bewährungsentscheidung erhebliches Gewicht hat.</w:t>
      </w:r>
    </w:p>
    <w:p>
      <w:pPr>
        <w:jc w:val="left"/>
      </w:pPr>
      <w:r>
        <w:rPr>
          <w:b/>
        </w:rPr>
        <w:t>Quelle § 46 StGB:</w:t>
      </w:r>
      <w:r>
        <w:t xml:space="preserve"> https://dejure.org/gesetze/StGB/46.html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