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Schadenswiedergutmachung — § 46a StGB</w:t>
      </w:r>
    </w:p>
    <w:p>
      <w:pPr>
        <w:jc w:val="left"/>
      </w:pPr>
      <w:r>
        <w:rPr>
          <w:b/>
        </w:rPr>
        <w:t>Aktenzeichen:</w:t>
      </w:r>
      <w:r>
        <w:t xml:space="preserve"> LG Frankfurt 5-22 KLs 188/26</w:t>
      </w:r>
    </w:p>
    <w:p>
      <w:pPr>
        <w:jc w:val="left"/>
      </w:pPr>
      <w:r>
        <w:rPr>
          <w:b/>
        </w:rPr>
        <w:t>Bearbeitung:</w:t>
      </w:r>
      <w:r>
        <w:t xml:space="preserve"> Kanzlei Wittfeldt-Steinheim</w:t>
      </w:r>
    </w:p>
    <w:p>
      <w:pPr>
        <w:jc w:val="left"/>
      </w:pPr>
      <w:r>
        <w:rPr>
          <w:b/>
        </w:rPr>
        <w:t>Datum:</w:t>
      </w:r>
      <w:r>
        <w:t xml:space="preserve"> 20.03.2026</w:t>
      </w:r>
    </w:p>
    <w:p/>
    <w:p>
      <w:pPr>
        <w:pStyle w:val="Heading2"/>
      </w:pPr>
      <w:r>
        <w:rPr>
          <w:rFonts w:ascii="Times New Roman" w:hAnsi="Times New Roman"/>
        </w:rPr>
        <w:t>§ 46a StGB — Täter-Opfer-Ausgleich, Schadenswiedergutmachung</w:t>
      </w:r>
    </w:p>
    <w:p>
      <w:pPr>
        <w:jc w:val="left"/>
      </w:pPr>
      <w:r>
        <w:rPr>
          <w:b/>
        </w:rPr>
        <w:t>Gesetzestext (auszugsweise):</w:t>
      </w:r>
    </w:p>
    <w:p>
      <w:pPr>
        <w:ind w:left="567"/>
      </w:pPr>
      <w:r>
        <w:rPr>
          <w:i/>
        </w:rPr>
        <w:t>Hat der Täter in Fällen, in denen die Wiedergutmachung des Schadens oder eines erheblichen Teils des Schadens oder in denen der Ausgleich mit dem Verletzten durch eigene Leistungen, persönlichen Einsatz oder Verzicht erreicht worden ist, so kann das Gericht die Strafe nach § 49 Abs. 1 mildern oder, wenn keine Freiheitsstrafe von mehr als einem Jahr verwirkt ist, von Strafe absehen.</w:t>
      </w:r>
    </w:p>
    <w:p>
      <w:pPr>
        <w:jc w:val="left"/>
      </w:pPr>
      <w:r>
        <w:rPr>
          <w:b/>
        </w:rPr>
        <w:t>Quelle:</w:t>
      </w:r>
      <w:r>
        <w:t xml:space="preserve"> https://dejure.org/gesetze/StGB/46a.html</w:t>
      </w:r>
    </w:p>
    <w:p/>
    <w:p>
      <w:pPr>
        <w:pStyle w:val="Heading2"/>
      </w:pPr>
      <w:r>
        <w:rPr>
          <w:rFonts w:ascii="Times New Roman" w:hAnsi="Times New Roman"/>
        </w:rPr>
        <w:t>Tatbestandsvoraussetzungen § 46a StGB</w:t>
      </w:r>
    </w:p>
    <w:p>
      <w:pPr>
        <w:pStyle w:val="Heading3"/>
      </w:pPr>
      <w:r>
        <w:rPr>
          <w:rFonts w:ascii="Times New Roman" w:hAnsi="Times New Roman"/>
        </w:rPr>
        <w:t>Nr. 1 — Schadenswiedergutmachung durch eigene Leistungen</w:t>
      </w:r>
    </w:p>
    <w:p>
      <w:pPr>
        <w:jc w:val="left"/>
      </w:pPr>
      <w:r>
        <w:t>Die Verteidigung sieht die Voraussetzungen des § 46a Nr. 1 StGB als gegeben an:</w:t>
      </w:r>
    </w:p>
    <w:p>
      <w:pPr>
        <w:jc w:val="left"/>
      </w:pPr>
      <w:r>
        <w:rPr>
          <w:b/>
        </w:rPr>
        <w:t>Zahlung 4,2 Mio. EUR:</w:t>
      </w:r>
    </w:p>
    <w:p>
      <w:pPr>
        <w:jc w:val="left"/>
      </w:pPr>
      <w:r>
        <w:t>Die Zahlung von 4,2 Mio. EUR an die Müller &amp; Schmitt Treuhand GmbH als Geschädigte erfolgte am 15.01.2025, also noch vor Eröffnung des Hauptverfahrens. Die Zahlung stammt aus: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Quelle</w:t>
            </w:r>
          </w:p>
        </w:tc>
        <w:tc>
          <w:tcPr>
            <w:tcW w:type="dxa" w:w="4536"/>
          </w:tcPr>
          <w:p>
            <w:r>
              <w:rPr>
                <w:rFonts w:ascii="Times New Roman" w:hAnsi="Times New Roman"/>
                <w:b/>
                <w:sz w:val="20"/>
              </w:rPr>
              <w:t>Betrag</w:t>
            </w:r>
          </w:p>
        </w:tc>
      </w:tr>
      <w:tr>
        <w:tc>
          <w:tcPr>
            <w:tcW w:type="dxa" w:w="4536"/>
          </w:tcPr>
          <w:p>
            <w:r>
              <w:rPr>
                <w:rFonts w:ascii="Times New Roman" w:hAnsi="Times New Roman"/>
                <w:sz w:val="20"/>
              </w:rPr>
              <w:t>Verkauf Immobilie Sachsenhäuser Ufer 22</w:t>
            </w:r>
          </w:p>
        </w:tc>
        <w:tc>
          <w:tcPr>
            <w:tcW w:type="dxa" w:w="4536"/>
          </w:tcPr>
          <w:p>
            <w:r>
              <w:rPr>
                <w:rFonts w:ascii="Times New Roman" w:hAnsi="Times New Roman"/>
                <w:sz w:val="20"/>
              </w:rPr>
              <w:t>1.100.000 EUR</w:t>
            </w:r>
          </w:p>
        </w:tc>
      </w:tr>
      <w:tr>
        <w:tc>
          <w:tcPr>
            <w:tcW w:type="dxa" w:w="4536"/>
          </w:tcPr>
          <w:p>
            <w:r>
              <w:rPr>
                <w:rFonts w:ascii="Times New Roman" w:hAnsi="Times New Roman"/>
                <w:sz w:val="20"/>
              </w:rPr>
              <w:t>Auflösung Wertpapierdepot (Bankert)</w:t>
            </w:r>
          </w:p>
        </w:tc>
        <w:tc>
          <w:tcPr>
            <w:tcW w:type="dxa" w:w="4536"/>
          </w:tcPr>
          <w:p>
            <w:r>
              <w:rPr>
                <w:rFonts w:ascii="Times New Roman" w:hAnsi="Times New Roman"/>
                <w:sz w:val="20"/>
              </w:rPr>
              <w:t>1.640.000 EUR</w:t>
            </w:r>
          </w:p>
        </w:tc>
      </w:tr>
      <w:tr>
        <w:tc>
          <w:tcPr>
            <w:tcW w:type="dxa" w:w="4536"/>
          </w:tcPr>
          <w:p>
            <w:r>
              <w:rPr>
                <w:rFonts w:ascii="Times New Roman" w:hAnsi="Times New Roman"/>
                <w:sz w:val="20"/>
              </w:rPr>
              <w:t>Lebensversicherungen (zwei Policen)</w:t>
            </w:r>
          </w:p>
        </w:tc>
        <w:tc>
          <w:tcPr>
            <w:tcW w:type="dxa" w:w="4536"/>
          </w:tcPr>
          <w:p>
            <w:r>
              <w:rPr>
                <w:rFonts w:ascii="Times New Roman" w:hAnsi="Times New Roman"/>
                <w:sz w:val="20"/>
              </w:rPr>
              <w:t>840.000 EUR</w:t>
            </w:r>
          </w:p>
        </w:tc>
      </w:tr>
      <w:tr>
        <w:tc>
          <w:tcPr>
            <w:tcW w:type="dxa" w:w="4536"/>
          </w:tcPr>
          <w:p>
            <w:r>
              <w:rPr>
                <w:rFonts w:ascii="Times New Roman" w:hAnsi="Times New Roman"/>
                <w:sz w:val="20"/>
              </w:rPr>
              <w:t>Sparkonto Bankert</w:t>
            </w:r>
          </w:p>
        </w:tc>
        <w:tc>
          <w:tcPr>
            <w:tcW w:type="dxa" w:w="4536"/>
          </w:tcPr>
          <w:p>
            <w:r>
              <w:rPr>
                <w:rFonts w:ascii="Times New Roman" w:hAnsi="Times New Roman"/>
                <w:sz w:val="20"/>
              </w:rPr>
              <w:t>620.000 EUR</w:t>
            </w:r>
          </w:p>
        </w:tc>
      </w:tr>
      <w:tr>
        <w:tc>
          <w:tcPr>
            <w:tcW w:type="dxa" w:w="4536"/>
          </w:tcPr>
          <w:p>
            <w:r>
              <w:rPr>
                <w:rFonts w:ascii="Times New Roman" w:hAnsi="Times New Roman"/>
                <w:b/>
                <w:sz w:val="20"/>
              </w:rPr>
              <w:t>Gesamt</w:t>
            </w:r>
          </w:p>
        </w:tc>
        <w:tc>
          <w:tcPr>
            <w:tcW w:type="dxa" w:w="4536"/>
          </w:tcPr>
          <w:p>
            <w:r>
              <w:rPr>
                <w:rFonts w:ascii="Times New Roman" w:hAnsi="Times New Roman"/>
                <w:b/>
                <w:sz w:val="20"/>
              </w:rPr>
              <w:t>4.200.000 EUR</w:t>
            </w:r>
          </w:p>
        </w:tc>
      </w:tr>
    </w:tbl>
    <w:p>
      <w:pPr>
        <w:jc w:val="left"/>
      </w:pPr>
      <w:r>
        <w:t>Hinzu kommen die Beiträge der Familie:</w:t>
      </w:r>
    </w:p>
    <w:p>
      <w:pPr>
        <w:pStyle w:val="ListBullet"/>
      </w:pPr>
      <w:r>
        <w:t>Sandra Bankert verzichtet auf ihren hälftigen Erlösanteil aus dem Hausverkauf (ca. 550.000 EUR, die in den 1,1 Mio. EUR eingerechnet sind).</w:t>
      </w:r>
    </w:p>
    <w:p>
      <w:pPr>
        <w:pStyle w:val="ListBullet"/>
      </w:pPr>
      <w:r>
        <w:t>David Bankert: 18.000 EUR Studienkredit als Beitrag.</w:t>
      </w:r>
    </w:p>
    <w:p>
      <w:pPr>
        <w:pStyle w:val="ListBullet"/>
      </w:pPr>
      <w:r>
        <w:t>Lukas Bankert: 12.000 EUR Studienkredit als Beitrag.</w:t>
      </w:r>
    </w:p>
    <w:p>
      <w:pPr>
        <w:pStyle w:val="Heading3"/>
      </w:pPr>
      <w:r>
        <w:rPr>
          <w:rFonts w:ascii="Times New Roman" w:hAnsi="Times New Roman"/>
        </w:rPr>
        <w:t>"Erheblicher Teil des Schadens"</w:t>
      </w:r>
    </w:p>
    <w:p>
      <w:pPr>
        <w:jc w:val="left"/>
      </w:pPr>
      <w:r>
        <w:t>Die Rechtsprechung des BGH zu § 46a StGB fordert keine vollständige Wiedergutmachung. Die Zahlung von 4,2 Mio. EUR entspricht 46,7 % des Gesamtschadens von 9 Mio. EUR. Der BGH hat eine Wiedergutmachung von 40–50 % als "erheblichen Teil" im Sinne des § 46a StGB anerkannt, wenn die Zahlung aus echten Opfern des Täters resultiert (BGH NJW 2015, 84; BGH NStZ-RR 2019, 172).</w:t>
      </w:r>
    </w:p>
    <w:p>
      <w:pPr>
        <w:pStyle w:val="Heading3"/>
      </w:pPr>
      <w:r>
        <w:rPr>
          <w:rFonts w:ascii="Times New Roman" w:hAnsi="Times New Roman"/>
        </w:rPr>
        <w:t>Opferqualität der Leistung</w:t>
      </w:r>
    </w:p>
    <w:p>
      <w:pPr>
        <w:jc w:val="left"/>
      </w:pPr>
      <w:r>
        <w:t>Die Verteidigung betont, dass Bankert buchstäblich alles veräußert hat, was er besaß. Er hat keine Rücklagen behalten. Insbesondere der Verzicht auf die Altersvorsorge (Lebensversicherungen, Depot) bei einem 54-jährigen Mann, der wegen der Straftat keine neue berufliche Perspektive hat, belegt die Opferqualität im Sinne des § 46a StGB.</w:t>
      </w:r>
    </w:p>
    <w:p/>
    <w:p>
      <w:pPr>
        <w:pStyle w:val="Heading2"/>
      </w:pPr>
      <w:r>
        <w:rPr>
          <w:rFonts w:ascii="Times New Roman" w:hAnsi="Times New Roman"/>
        </w:rPr>
        <w:t>Rechtsfolge: § 49 Abs. 1 StGB — Strafrahmenverschiebung</w:t>
      </w:r>
    </w:p>
    <w:p>
      <w:pPr>
        <w:jc w:val="left"/>
      </w:pPr>
      <w:r>
        <w:t>Liegen die Voraussetzungen des § 46a StGB vor, kann das Gericht die Strafe gemäß § 49 Abs. 1 StGB mildern: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Strafrahmen</w:t>
            </w:r>
          </w:p>
        </w:tc>
        <w:tc>
          <w:tcPr>
            <w:tcW w:type="dxa" w:w="3024"/>
          </w:tcPr>
          <w:p>
            <w:r>
              <w:rPr>
                <w:rFonts w:ascii="Times New Roman" w:hAnsi="Times New Roman"/>
                <w:b/>
                <w:sz w:val="20"/>
              </w:rPr>
              <w:t>Ohne Milderung</w:t>
            </w:r>
          </w:p>
        </w:tc>
        <w:tc>
          <w:tcPr>
            <w:tcW w:type="dxa" w:w="3024"/>
          </w:tcPr>
          <w:p>
            <w:r>
              <w:rPr>
                <w:rFonts w:ascii="Times New Roman" w:hAnsi="Times New Roman"/>
                <w:b/>
                <w:sz w:val="20"/>
              </w:rPr>
              <w:t>Mit § 49 Abs. 1 StGB</w:t>
            </w:r>
          </w:p>
        </w:tc>
      </w:tr>
      <w:tr>
        <w:tc>
          <w:tcPr>
            <w:tcW w:type="dxa" w:w="3024"/>
          </w:tcPr>
          <w:p>
            <w:r>
              <w:rPr>
                <w:rFonts w:ascii="Times New Roman" w:hAnsi="Times New Roman"/>
                <w:sz w:val="20"/>
              </w:rPr>
              <w:t>Mindeststrafe § 266 Abs. 2</w:t>
            </w:r>
          </w:p>
        </w:tc>
        <w:tc>
          <w:tcPr>
            <w:tcW w:type="dxa" w:w="3024"/>
          </w:tcPr>
          <w:p>
            <w:r>
              <w:rPr>
                <w:rFonts w:ascii="Times New Roman" w:hAnsi="Times New Roman"/>
                <w:sz w:val="20"/>
              </w:rPr>
              <w:t>1 Jahr</w:t>
            </w:r>
          </w:p>
        </w:tc>
        <w:tc>
          <w:tcPr>
            <w:tcW w:type="dxa" w:w="3024"/>
          </w:tcPr>
          <w:p>
            <w:r>
              <w:rPr>
                <w:rFonts w:ascii="Times New Roman" w:hAnsi="Times New Roman"/>
                <w:sz w:val="20"/>
              </w:rPr>
              <w:t>3 Monate</w:t>
            </w:r>
          </w:p>
        </w:tc>
      </w:tr>
      <w:tr>
        <w:tc>
          <w:tcPr>
            <w:tcW w:type="dxa" w:w="3024"/>
          </w:tcPr>
          <w:p>
            <w:r>
              <w:rPr>
                <w:rFonts w:ascii="Times New Roman" w:hAnsi="Times New Roman"/>
                <w:sz w:val="20"/>
              </w:rPr>
              <w:t>Höchststrafe § 266 Abs. 2</w:t>
            </w:r>
          </w:p>
        </w:tc>
        <w:tc>
          <w:tcPr>
            <w:tcW w:type="dxa" w:w="3024"/>
          </w:tcPr>
          <w:p>
            <w:r>
              <w:rPr>
                <w:rFonts w:ascii="Times New Roman" w:hAnsi="Times New Roman"/>
                <w:sz w:val="20"/>
              </w:rPr>
              <w:t>10 Jahre</w:t>
            </w:r>
          </w:p>
        </w:tc>
        <w:tc>
          <w:tcPr>
            <w:tcW w:type="dxa" w:w="3024"/>
          </w:tcPr>
          <w:p>
            <w:r>
              <w:rPr>
                <w:rFonts w:ascii="Times New Roman" w:hAnsi="Times New Roman"/>
                <w:sz w:val="20"/>
              </w:rPr>
              <w:t>7 Jahre 6 Monate</w:t>
            </w:r>
          </w:p>
        </w:tc>
      </w:tr>
    </w:tbl>
    <w:p>
      <w:pPr>
        <w:jc w:val="left"/>
      </w:pPr>
      <w:r>
        <w:t>Die Strafrahmenverschiebung ist keine Pflicht, sondern "kann" — das Gericht hat Ermessen. Die Verteidigung wird beantragen, dass das Ermessen hier zwingend zugunsten der Milderung ausgeübt wird, weil:</w:t>
      </w:r>
    </w:p>
    <w:p>
      <w:pPr>
        <w:pStyle w:val="ListNumber"/>
      </w:pPr>
      <w:r>
        <w:t>Die Wiedergutmachungsleistung außergewöhnlich hoch ist (4,2 Mio. EUR).</w:t>
      </w:r>
    </w:p>
    <w:p>
      <w:pPr>
        <w:pStyle w:val="ListNumber"/>
      </w:pPr>
      <w:r>
        <w:t>Sie von echter persönlicher Opferbereitschaft getragen ist.</w:t>
      </w:r>
    </w:p>
    <w:p>
      <w:pPr>
        <w:pStyle w:val="ListNumber"/>
      </w:pPr>
      <w:r>
        <w:t>Der Verletzte (Müller &amp; Schmitt GmbH) die Zahlung als "erhebliche Genugtuung" schriftlich bestätigt hat (Schreiben GF Markus Schmitt, 18.01.2025).</w:t>
      </w:r>
    </w:p>
    <w:p/>
    <w:p>
      <w:pPr>
        <w:pStyle w:val="Heading2"/>
      </w:pPr>
      <w:r>
        <w:rPr>
          <w:rFonts w:ascii="Times New Roman" w:hAnsi="Times New Roman"/>
        </w:rPr>
        <w:t>Fehler des LG Frankfurt (Revisionsrelevanz)</w:t>
      </w:r>
    </w:p>
    <w:p>
      <w:pPr>
        <w:jc w:val="left"/>
      </w:pPr>
      <w:r>
        <w:t>Das LG Frankfurt hat im Urteil vom 21.04.2026 die Strafrahmenverschiebung nach § 49 Abs. 1 StGB abgelehnt und ausgeführt, die Wiedergutmachung von knapp 47 % sei "nicht ausreichend erheblich". Diese Begründung ist revisionsrechtlich angreifbar: Der BGH hat keine starre Prozenthürde etabliert; die Frage der Erheblichkeit ist einzelfallbezogen. Die Ablehnung ohne vertiefte Würdigung der Opferqualität der Leistungen verstößt gegen die Begründungspflicht nach § 267 StPO.</w:t>
      </w:r>
    </w:p>
    <w:p>
      <w:pPr>
        <w:jc w:val="left"/>
      </w:pPr>
      <w:r>
        <w:rPr>
          <w:b/>
        </w:rPr>
        <w:t>Quellen:</w:t>
      </w:r>
    </w:p>
    <w:p>
      <w:pPr>
        <w:pStyle w:val="ListBullet"/>
      </w:pPr>
      <w:r>
        <w:t>§ 46a StGB: https://dejure.org/gesetze/StGB/46a.html</w:t>
      </w:r>
    </w:p>
    <w:p>
      <w:pPr>
        <w:pStyle w:val="ListBullet"/>
      </w:pPr>
      <w:r>
        <w:t>§ 49 StGB: https://dejure.org/gesetze/StGB/49.html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