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Tateinheitliche und tatmehrheitliche Bewertung</w:t>
      </w:r>
    </w:p>
    <w:p>
      <w:pPr>
        <w:jc w:val="left"/>
      </w:pPr>
      <w:r>
        <w:rPr>
          <w:b/>
        </w:rPr>
        <w:t>Aktenzeichen:</w:t>
      </w:r>
      <w:r>
        <w:t xml:space="preserve"> LG Frankfurt 5-22 KLs 188/26</w:t>
      </w:r>
    </w:p>
    <w:p>
      <w:pPr>
        <w:jc w:val="left"/>
      </w:pPr>
      <w:r>
        <w:rPr>
          <w:b/>
        </w:rPr>
        <w:t>Bearbeitung:</w:t>
      </w:r>
      <w:r>
        <w:t xml:space="preserve"> Kanzlei Wittfeldt-Steinheim</w:t>
      </w:r>
    </w:p>
    <w:p>
      <w:pPr>
        <w:jc w:val="left"/>
      </w:pPr>
      <w:r>
        <w:rPr>
          <w:b/>
        </w:rPr>
        <w:t>Datum:</w:t>
      </w:r>
      <w:r>
        <w:t xml:space="preserve"> 21.03.2026</w:t>
      </w:r>
    </w:p>
    <w:p/>
    <w:p>
      <w:pPr>
        <w:pStyle w:val="Heading2"/>
      </w:pPr>
      <w:r>
        <w:rPr>
          <w:rFonts w:ascii="Times New Roman" w:hAnsi="Times New Roman"/>
        </w:rPr>
        <w:t>Konkurrenzen bei Serienstraftaten — § 266 StGB</w:t>
      </w:r>
    </w:p>
    <w:p>
      <w:pPr>
        <w:jc w:val="left"/>
      </w:pPr>
      <w:r>
        <w:t>Bei wiederholten Vermögensstraftaten stellt sich stets die Frage, ob die einzelnen Tatakte in Tateinheit (§ 52 StGB) oder Tatmehrheit (§ 53 StGB) stehen. Dies hat erhebliche Auswirkungen auf die Strafzumessung.</w:t>
      </w:r>
    </w:p>
    <w:p/>
    <w:p>
      <w:pPr>
        <w:pStyle w:val="Heading2"/>
      </w:pPr>
      <w:r>
        <w:rPr>
          <w:rFonts w:ascii="Times New Roman" w:hAnsi="Times New Roman"/>
        </w:rPr>
        <w:t>Position der Staatsanwaltschaft: 110 selbständige Taten (§ 53 StGB)</w:t>
      </w:r>
    </w:p>
    <w:p>
      <w:pPr>
        <w:jc w:val="left"/>
      </w:pPr>
      <w:r>
        <w:t>Die Staatsanwaltschaft hat in der Anklageschrift 110 selbständige Fälle der Untreue im Verhältnis der Tatmehrheit nach § 53 StGB angenommen. Begründung:</w:t>
      </w:r>
    </w:p>
    <w:p>
      <w:pPr>
        <w:pStyle w:val="ListBullet"/>
      </w:pPr>
      <w:r>
        <w:t>Jede der 110 Überweisungen ist ein eigenständiger Entschluss und eine eigenständige Ausführungshandlung.</w:t>
      </w:r>
    </w:p>
    <w:p>
      <w:pPr>
        <w:pStyle w:val="ListBullet"/>
      </w:pPr>
      <w:r>
        <w:t>Zwischen den Überweisungen liegen zum Teil Wochen oder Monate — kein engräumiger Zusammenhang.</w:t>
      </w:r>
    </w:p>
    <w:p>
      <w:pPr>
        <w:pStyle w:val="ListBullet"/>
      </w:pPr>
      <w:r>
        <w:t>Jede Überweisung bewirkt einen separaten Vermögensnachteil.</w:t>
      </w:r>
    </w:p>
    <w:p>
      <w:pPr>
        <w:jc w:val="left"/>
      </w:pPr>
      <w:r>
        <w:rPr>
          <w:b/>
        </w:rPr>
        <w:t>Rechtsfolge § 53 StGB:</w:t>
      </w:r>
      <w:r>
        <w:t xml:space="preserve"> Bildung einer Gesamtstrafe. Die Einsatzstrafe (schwerste Einzeltat) wird erhöht, darf aber die Summe aller Einzelstrafen nicht erreichen.</w:t>
      </w:r>
    </w:p>
    <w:p/>
    <w:p>
      <w:pPr>
        <w:pStyle w:val="Heading2"/>
      </w:pPr>
      <w:r>
        <w:rPr>
          <w:rFonts w:ascii="Times New Roman" w:hAnsi="Times New Roman"/>
        </w:rPr>
        <w:t>Position der Verteidigung: Fortgesetzte Handlung oder Serientat mit einheitlichem Rahmen</w:t>
      </w:r>
    </w:p>
    <w:p>
      <w:pPr>
        <w:jc w:val="left"/>
      </w:pPr>
      <w:r>
        <w:t>Die Verteidigung argumentiert für eine günstigere Konkurrenzbeurteilung:</w:t>
      </w:r>
    </w:p>
    <w:p>
      <w:pPr>
        <w:pStyle w:val="Heading3"/>
      </w:pPr>
      <w:r>
        <w:rPr>
          <w:rFonts w:ascii="Times New Roman" w:hAnsi="Times New Roman"/>
        </w:rPr>
        <w:t>These 1: Natürliche Handlungseinheit</w:t>
      </w:r>
    </w:p>
    <w:p>
      <w:pPr>
        <w:jc w:val="left"/>
      </w:pPr>
      <w:r>
        <w:t>Innerhalb der beiden Tatphasen könnten mehrere Überweisungen zur natürlichen Handlungseinheit zusammengefasst werden, wenn sie einem einheitlichen Tatentschluss und einem engen räumlich-zeitlichen Zusammenhang entspringen (BGH NStZ 2017, 411).</w:t>
      </w:r>
    </w:p>
    <w:p>
      <w:pPr>
        <w:jc w:val="left"/>
      </w:pPr>
      <w:r>
        <w:t>Zwar hat der BGH die "Figur der fortgesetzten Handlung" 1994 (BGHSt 40, 138) weitgehend aufgegeben. Eine natürliche Handlungseinheit verbleibt aber möglich, wenn mehrere Einzelakte auf einem einheitlichen Willensentschluss beruhen und sich als Teil eines einheitlichen Lebensvorgangs darstellen.</w:t>
      </w:r>
    </w:p>
    <w:p>
      <w:pPr>
        <w:pStyle w:val="Heading3"/>
      </w:pPr>
      <w:r>
        <w:rPr>
          <w:rFonts w:ascii="Times New Roman" w:hAnsi="Times New Roman"/>
        </w:rPr>
        <w:t>These 2: Strafzumessungslösung bei Serientaten</w:t>
      </w:r>
    </w:p>
    <w:p>
      <w:pPr>
        <w:jc w:val="left"/>
      </w:pPr>
      <w:r>
        <w:t>Selbst bei Annahme von Tatmehrheit nach § 53 StGB kann das Gericht bei Serientaten mit identischem Modus operandi die Gesamtstrafe nach dem Gesamtunrechtsgehalt zumessen, ohne jede Einzeltat punktgenau zu bewerten (BGH NStZ-RR 2020, 108; BGH 3 StR 175/19).</w:t>
      </w:r>
    </w:p>
    <w:p/>
    <w:p>
      <w:pPr>
        <w:pStyle w:val="Heading2"/>
      </w:pPr>
      <w:r>
        <w:rPr>
          <w:rFonts w:ascii="Times New Roman" w:hAnsi="Times New Roman"/>
        </w:rPr>
        <w:t>LG Frankfurt: Tatmehrheit (110 Fälle), Gesamtstrafe</w:t>
      </w:r>
    </w:p>
    <w:p>
      <w:pPr>
        <w:jc w:val="left"/>
      </w:pPr>
      <w:r>
        <w:t>Das LG Frankfurt hat in der Hauptverhandlung Tatmehrheit gemäß § 53 StGB angenommen:</w:t>
      </w:r>
    </w:p>
    <w:p>
      <w:pPr>
        <w:pStyle w:val="ListBullet"/>
      </w:pPr>
      <w:r>
        <w:t>Einsatzstrafe (schwerste Einzeltat, Fall 87: 280.000 EUR): 1 Jahr 8 Monate.</w:t>
      </w:r>
    </w:p>
    <w:p>
      <w:pPr>
        <w:pStyle w:val="ListBullet"/>
      </w:pPr>
      <w:r>
        <w:t>109 weitere Einzelstrafen im Bereich 6 Monate bis 1 Jahr 4 Monate.</w:t>
      </w:r>
    </w:p>
    <w:p>
      <w:pPr>
        <w:pStyle w:val="ListBullet"/>
      </w:pPr>
      <w:r>
        <w:t>Gesamtstrafenbildung: 3 Jahre 2 Monate (erheblich unter der Summe aller Einzelstrafen von rechnerisch über 90 Jahren).</w:t>
      </w:r>
    </w:p>
    <w:p>
      <w:pPr>
        <w:jc w:val="left"/>
      </w:pPr>
      <w:r>
        <w:t>Die Gesamtstrafe von 3 J 2 M liegt nach Auffassung der Kammer "im unteren Drittel des schuldangemessenen Bereichs" — eine Begründung, die die Verteidigung für unzureichend hält (fehlt konkrete Abwägung der Strafzumessungsfaktoren nach § 46 StGB).</w:t>
      </w:r>
    </w:p>
    <w:p/>
    <w:p>
      <w:pPr>
        <w:pStyle w:val="Heading2"/>
      </w:pPr>
      <w:r>
        <w:rPr>
          <w:rFonts w:ascii="Times New Roman" w:hAnsi="Times New Roman"/>
        </w:rPr>
        <w:t>Revisionsrelevanz der Konkurrenzfrage</w:t>
      </w:r>
    </w:p>
    <w:p>
      <w:pPr>
        <w:jc w:val="left"/>
      </w:pPr>
      <w:r>
        <w:t>Die Frage, ob das LG die Konkurrenzen korrekt bewertet hat, ist revisionsrechtlich grundsätzlich überprüfbar (§ 337 StPO). Fehler bei der Gesamtstrafenbildung führen regelmäßig zur Aufhebung des Strafausspruchs:</w:t>
      </w:r>
    </w:p>
    <w:p>
      <w:pPr>
        <w:pStyle w:val="ListBullet"/>
      </w:pPr>
      <w:r>
        <w:t>Fehlerhafte Einsatzstrafe: Wenn die Einsatzstrafe überhöht ist, infiziert dies die Gesamtstrafe.</w:t>
      </w:r>
    </w:p>
    <w:p>
      <w:pPr>
        <w:pStyle w:val="ListBullet"/>
      </w:pPr>
      <w:r>
        <w:t>Fehlerhafte Gesamtstrafenbildung: Wenn das LG keine ausreichende Begründung für den Erhöhungsbetrag liefert, liegt ein Darstellungsfehler vor (BGH NStZ 2022, 51).</w:t>
      </w:r>
    </w:p>
    <w:p/>
    <w:p>
      <w:pPr>
        <w:pStyle w:val="Heading2"/>
      </w:pPr>
      <w:r>
        <w:rPr>
          <w:rFonts w:ascii="Times New Roman" w:hAnsi="Times New Roman"/>
        </w:rPr>
        <w:t>Zusammenfassung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Rechtliche Grundlage</w:t>
            </w:r>
          </w:p>
        </w:tc>
        <w:tc>
          <w:tcPr>
            <w:tcW w:type="dxa" w:w="3024"/>
          </w:tcPr>
          <w:p>
            <w:r>
              <w:rPr>
                <w:rFonts w:ascii="Times New Roman" w:hAnsi="Times New Roman"/>
                <w:b/>
                <w:sz w:val="20"/>
              </w:rPr>
              <w:t>Straffolge</w:t>
            </w:r>
          </w:p>
        </w:tc>
      </w:tr>
      <w:tr>
        <w:tc>
          <w:tcPr>
            <w:tcW w:type="dxa" w:w="3024"/>
          </w:tcPr>
          <w:p>
            <w:r>
              <w:rPr>
                <w:rFonts w:ascii="Times New Roman" w:hAnsi="Times New Roman"/>
                <w:sz w:val="20"/>
              </w:rPr>
              <w:t>StA (110 Einzeltaten)</w:t>
            </w:r>
          </w:p>
        </w:tc>
        <w:tc>
          <w:tcPr>
            <w:tcW w:type="dxa" w:w="3024"/>
          </w:tcPr>
          <w:p>
            <w:r>
              <w:rPr>
                <w:rFonts w:ascii="Times New Roman" w:hAnsi="Times New Roman"/>
                <w:sz w:val="20"/>
              </w:rPr>
              <w:t>§ 53 StGB</w:t>
            </w:r>
          </w:p>
        </w:tc>
        <w:tc>
          <w:tcPr>
            <w:tcW w:type="dxa" w:w="3024"/>
          </w:tcPr>
          <w:p>
            <w:r>
              <w:rPr>
                <w:rFonts w:ascii="Times New Roman" w:hAnsi="Times New Roman"/>
                <w:sz w:val="20"/>
              </w:rPr>
              <w:t>Gesamtstrafe erhöht</w:t>
            </w:r>
          </w:p>
        </w:tc>
      </w:tr>
      <w:tr>
        <w:tc>
          <w:tcPr>
            <w:tcW w:type="dxa" w:w="3024"/>
          </w:tcPr>
          <w:p>
            <w:r>
              <w:rPr>
                <w:rFonts w:ascii="Times New Roman" w:hAnsi="Times New Roman"/>
                <w:sz w:val="20"/>
              </w:rPr>
              <w:t>Verteidigung (natürliche Einheit)</w:t>
            </w:r>
          </w:p>
        </w:tc>
        <w:tc>
          <w:tcPr>
            <w:tcW w:type="dxa" w:w="3024"/>
          </w:tcPr>
          <w:p>
            <w:r>
              <w:rPr>
                <w:rFonts w:ascii="Times New Roman" w:hAnsi="Times New Roman"/>
                <w:sz w:val="20"/>
              </w:rPr>
              <w:t>Natürliche Handlungseinheit</w:t>
            </w:r>
          </w:p>
        </w:tc>
        <w:tc>
          <w:tcPr>
            <w:tcW w:type="dxa" w:w="3024"/>
          </w:tcPr>
          <w:p>
            <w:r>
              <w:rPr>
                <w:rFonts w:ascii="Times New Roman" w:hAnsi="Times New Roman"/>
                <w:sz w:val="20"/>
              </w:rPr>
              <w:t>Mildere Gesamtstrafe</w:t>
            </w:r>
          </w:p>
        </w:tc>
      </w:tr>
      <w:tr>
        <w:tc>
          <w:tcPr>
            <w:tcW w:type="dxa" w:w="3024"/>
          </w:tcPr>
          <w:p>
            <w:r>
              <w:rPr>
                <w:rFonts w:ascii="Times New Roman" w:hAnsi="Times New Roman"/>
                <w:sz w:val="20"/>
              </w:rPr>
              <w:t>LG Frankfurt (110 Taten, Gesamtstrafe)</w:t>
            </w:r>
          </w:p>
        </w:tc>
        <w:tc>
          <w:tcPr>
            <w:tcW w:type="dxa" w:w="3024"/>
          </w:tcPr>
          <w:p>
            <w:r>
              <w:rPr>
                <w:rFonts w:ascii="Times New Roman" w:hAnsi="Times New Roman"/>
                <w:sz w:val="20"/>
              </w:rPr>
              <w:t>§ 53 StGB</w:t>
            </w:r>
          </w:p>
        </w:tc>
        <w:tc>
          <w:tcPr>
            <w:tcW w:type="dxa" w:w="3024"/>
          </w:tcPr>
          <w:p>
            <w:r>
              <w:rPr>
                <w:rFonts w:ascii="Times New Roman" w:hAnsi="Times New Roman"/>
                <w:sz w:val="20"/>
              </w:rPr>
              <w:t>3 J 2 M</w:t>
            </w:r>
          </w:p>
        </w:tc>
      </w:tr>
      <w:tr>
        <w:tc>
          <w:tcPr>
            <w:tcW w:type="dxa" w:w="3024"/>
          </w:tcPr>
          <w:p>
            <w:r>
              <w:rPr>
                <w:rFonts w:ascii="Times New Roman" w:hAnsi="Times New Roman"/>
                <w:sz w:val="20"/>
              </w:rPr>
              <w:t>BGH (mögliche Revision)</w:t>
            </w:r>
          </w:p>
        </w:tc>
        <w:tc>
          <w:tcPr>
            <w:tcW w:type="dxa" w:w="3024"/>
          </w:tcPr>
          <w:p>
            <w:r>
              <w:rPr>
                <w:rFonts w:ascii="Times New Roman" w:hAnsi="Times New Roman"/>
                <w:sz w:val="20"/>
              </w:rPr>
              <w:t>§ 337 StPO</w:t>
            </w:r>
          </w:p>
        </w:tc>
        <w:tc>
          <w:tcPr>
            <w:tcW w:type="dxa" w:w="3024"/>
          </w:tcPr>
          <w:p>
            <w:r>
              <w:rPr>
                <w:rFonts w:ascii="Times New Roman" w:hAnsi="Times New Roman"/>
                <w:sz w:val="20"/>
              </w:rPr>
              <w:t>Aufhebung möglich</w:t>
            </w:r>
          </w:p>
        </w:tc>
      </w:tr>
    </w:tbl>
    <w:p>
      <w:pPr>
        <w:jc w:val="left"/>
      </w:pPr>
      <w:r>
        <w:rPr>
          <w:b/>
        </w:rPr>
        <w:t>Quellen:</w:t>
      </w:r>
    </w:p>
    <w:p>
      <w:pPr>
        <w:pStyle w:val="ListBullet"/>
      </w:pPr>
      <w:r>
        <w:t>§ 52 StGB: https://dejure.org/gesetze/StGB/52.html</w:t>
      </w:r>
    </w:p>
    <w:p>
      <w:pPr>
        <w:pStyle w:val="ListBullet"/>
      </w:pPr>
      <w:r>
        <w:t>§ 53 StGB: https://dejure.org/gesetze/StGB/53.html</w:t>
      </w:r>
    </w:p>
    <w:p>
      <w:pPr>
        <w:pStyle w:val="ListBullet"/>
      </w:pPr>
      <w:r>
        <w:t>§ 337 StPO: https://dejure.org/gesetze/StPO/337.html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