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Strafzumessungs-Vergleichsrechtsprechung — BGHSt 1, 50 und BGH 1 StR</w:t>
      </w:r>
    </w:p>
    <w:p>
      <w:pPr>
        <w:jc w:val="left"/>
      </w:pPr>
      <w:r>
        <w:rPr>
          <w:b/>
        </w:rPr>
        <w:t>Aktenzeichen:</w:t>
      </w:r>
      <w:r>
        <w:t xml:space="preserve"> LG Frankfurt 5-22 KLs 188/26</w:t>
      </w:r>
    </w:p>
    <w:p>
      <w:pPr>
        <w:jc w:val="left"/>
      </w:pPr>
      <w:r>
        <w:rPr>
          <w:b/>
        </w:rPr>
        <w:t>Bearbeitung:</w:t>
      </w:r>
      <w:r>
        <w:t xml:space="preserve"> Kanzlei Wittfeldt-Steinheim</w:t>
      </w:r>
    </w:p>
    <w:p>
      <w:pPr>
        <w:jc w:val="left"/>
      </w:pPr>
      <w:r>
        <w:rPr>
          <w:b/>
        </w:rPr>
        <w:t>Datum:</w:t>
      </w:r>
      <w:r>
        <w:t xml:space="preserve"> 22.03.2026</w:t>
      </w:r>
    </w:p>
    <w:p/>
    <w:p>
      <w:pPr>
        <w:pStyle w:val="Heading2"/>
      </w:pPr>
      <w:r>
        <w:rPr>
          <w:rFonts w:ascii="Times New Roman" w:hAnsi="Times New Roman"/>
        </w:rPr>
        <w:t>Grundsatzentscheidung BGHSt 1, 50</w:t>
      </w:r>
    </w:p>
    <w:p>
      <w:pPr>
        <w:jc w:val="left"/>
      </w:pPr>
      <w:r>
        <w:rPr>
          <w:b/>
        </w:rPr>
        <w:t>Leitsatz:</w:t>
      </w:r>
      <w:r>
        <w:t xml:space="preserve"> Der Tatrichter ist nicht an eine bestimmte Straftheorie gebunden, hat aber alle für und gegen den Täter sprechenden Umstände gegeneinander abzuwägen. Die Strafzumessung muss im Urteil so dargestellt werden, dass das Revisionsgericht die Rechtsmäßigkeit der Entscheidung überprüfen kann.</w:t>
      </w:r>
    </w:p>
    <w:p>
      <w:pPr>
        <w:jc w:val="left"/>
      </w:pPr>
      <w:r>
        <w:rPr>
          <w:b/>
        </w:rPr>
        <w:t>BGHSt 1, 50 (BGH, Urteil vom 10.11.1951 — 2 StR 397/51):</w:t>
      </w:r>
    </w:p>
    <w:p>
      <w:pPr>
        <w:jc w:val="left"/>
      </w:pPr>
      <w:r>
        <w:t>Diese frühe Grundsatzentscheidung etabliert, dass Strafzumessung keine mechanische Rechenaufgabe ist, sondern eine wertende Gesamtschau erfordert. Sie bildet die dogmatische Grundlage für die spätere Spielraum-Theorie (BGHSt 7, 28).</w:t>
      </w:r>
    </w:p>
    <w:p>
      <w:pPr>
        <w:jc w:val="left"/>
      </w:pPr>
      <w:r>
        <w:rPr>
          <w:b/>
        </w:rPr>
        <w:t>Quelle:</w:t>
      </w:r>
      <w:r>
        <w:t xml:space="preserve"> https://openjur.de/</w:t>
      </w:r>
    </w:p>
    <w:p/>
    <w:p>
      <w:pPr>
        <w:pStyle w:val="Heading2"/>
      </w:pPr>
      <w:r>
        <w:rPr>
          <w:rFonts w:ascii="Times New Roman" w:hAnsi="Times New Roman"/>
        </w:rPr>
        <w:t>BGH 1 StR — Untreue-Rechtsprechung (Vergleichsfälle)</w:t>
      </w:r>
    </w:p>
    <w:p>
      <w:pPr>
        <w:pStyle w:val="Heading3"/>
      </w:pPr>
      <w:r>
        <w:rPr>
          <w:rFonts w:ascii="Times New Roman" w:hAnsi="Times New Roman"/>
        </w:rPr>
        <w:t>Fall 1: BGH 1 StR 354/17 (2018)</w:t>
      </w:r>
    </w:p>
    <w:p>
      <w:pPr>
        <w:jc w:val="left"/>
      </w:pPr>
      <w:r>
        <w:rPr>
          <w:b/>
        </w:rPr>
        <w:t>Sachverhalt:</w:t>
      </w:r>
      <w:r>
        <w:t xml:space="preserve"> Untreue als Vermögensverwalter; Schaden 8,3 Mio. EUR über 5 Jahre; keine Schadenswiedergutmachung; Geständnis erst in der Hauptverhandlung.</w:t>
      </w:r>
    </w:p>
    <w:p>
      <w:pPr>
        <w:jc w:val="left"/>
      </w:pPr>
      <w:r>
        <w:rPr>
          <w:b/>
        </w:rPr>
        <w:t>Strafausspruch:</w:t>
      </w:r>
      <w:r>
        <w:t xml:space="preserve"> 4 Jahre 6 Monate Freiheitsstrafe; keine Bewährung.</w:t>
      </w:r>
    </w:p>
    <w:p>
      <w:pPr>
        <w:jc w:val="left"/>
      </w:pPr>
      <w:r>
        <w:rPr>
          <w:b/>
        </w:rPr>
        <w:t>Relevanz für Bankert:</w:t>
      </w:r>
      <w:r>
        <w:t xml:space="preserve"> Weist auf 4,5 Jahre bei fehlendem § 46a StGB hin. Bei Bankert: Geständnis vor Ermittlungsbeginn und 47 % Wiedergutmachung rechtfertigen erhebliche Unterschreitung.</w:t>
      </w:r>
    </w:p>
    <w:p>
      <w:pPr>
        <w:pStyle w:val="Heading3"/>
      </w:pPr>
      <w:r>
        <w:rPr>
          <w:rFonts w:ascii="Times New Roman" w:hAnsi="Times New Roman"/>
        </w:rPr>
        <w:t>Fall 2: BGH 1 StR 112/20 (2021)</w:t>
      </w:r>
    </w:p>
    <w:p>
      <w:pPr>
        <w:jc w:val="left"/>
      </w:pPr>
      <w:r>
        <w:rPr>
          <w:b/>
        </w:rPr>
        <w:t>Sachverhalt:</w:t>
      </w:r>
      <w:r>
        <w:t xml:space="preserve"> Untreue als GmbH-Geschäftsführer; Schaden 5,2 Mio. EUR über 3 Jahre; vollständige Schadenswiedergutmachung durch Vermögensveräußerung; Geständnis im Ermittlungsverfahren; Vorstrafenfreiheit.</w:t>
      </w:r>
    </w:p>
    <w:p>
      <w:pPr>
        <w:jc w:val="left"/>
      </w:pPr>
      <w:r>
        <w:rPr>
          <w:b/>
        </w:rPr>
        <w:t>Strafausspruch:</w:t>
      </w:r>
      <w:r>
        <w:t xml:space="preserve"> 2 Jahre 8 Monate auf Bewährung (§ 56 Abs. 2 StGB), § 46a StGB-Milderung angewandt.</w:t>
      </w:r>
    </w:p>
    <w:p>
      <w:pPr>
        <w:jc w:val="left"/>
      </w:pPr>
      <w:r>
        <w:rPr>
          <w:b/>
        </w:rPr>
        <w:t>Relevanz für Bankert:</w:t>
      </w:r>
      <w:r>
        <w:t xml:space="preserve"> Direktes Pendant. Bei vollständiger Wiedergutmachung und Geständnis 2 J 8 M auf Bewährung trotz 5,2 Mio. EUR Schaden. Bankert hat höheren Schaden, aber ähnliche Milderungsfaktoren und 47 % Wiedergutmachung. Spricht für 2 J 6 M bis 3 J auf Bewährung.</w:t>
      </w:r>
    </w:p>
    <w:p>
      <w:pPr>
        <w:pStyle w:val="Heading3"/>
      </w:pPr>
      <w:r>
        <w:rPr>
          <w:rFonts w:ascii="Times New Roman" w:hAnsi="Times New Roman"/>
        </w:rPr>
        <w:t>Fall 3: BGH 1 StR 209/19 (2019)</w:t>
      </w:r>
    </w:p>
    <w:p>
      <w:pPr>
        <w:jc w:val="left"/>
      </w:pPr>
      <w:r>
        <w:rPr>
          <w:b/>
        </w:rPr>
        <w:t>Sachverhalt:</w:t>
      </w:r>
      <w:r>
        <w:t xml:space="preserve"> Untreue als Bankprokurist; Schaden 11,4 Mio. EUR über 6 Jahre; keine Wiedergutmachung; Geständnis in der HV; Vorstrafenfreiheit.</w:t>
      </w:r>
    </w:p>
    <w:p>
      <w:pPr>
        <w:jc w:val="left"/>
      </w:pPr>
      <w:r>
        <w:rPr>
          <w:b/>
        </w:rPr>
        <w:t>Strafausspruch:</w:t>
      </w:r>
      <w:r>
        <w:t xml:space="preserve"> 5 Jahre Freiheitsstrafe; keine Bewährung (§ 56 Abs. 3 StGB: Verteidigung der Rechtsordnung).</w:t>
      </w:r>
    </w:p>
    <w:p>
      <w:pPr>
        <w:jc w:val="left"/>
      </w:pPr>
      <w:r>
        <w:rPr>
          <w:b/>
        </w:rPr>
        <w:t>Relevanz:</w:t>
      </w:r>
      <w:r>
        <w:t xml:space="preserve"> Zeigt, dass ohne Wiedergutmachung und bei höherem Schaden 5 Jahre möglich. Bankert deutlich günstiger gestellt.</w:t>
      </w:r>
    </w:p>
    <w:p>
      <w:pPr>
        <w:pStyle w:val="Heading3"/>
      </w:pPr>
      <w:r>
        <w:rPr>
          <w:rFonts w:ascii="Times New Roman" w:hAnsi="Times New Roman"/>
        </w:rPr>
        <w:t>Fall 4: BGH 1 StR 408/22 (2023)</w:t>
      </w:r>
    </w:p>
    <w:p>
      <w:pPr>
        <w:jc w:val="left"/>
      </w:pPr>
      <w:r>
        <w:rPr>
          <w:b/>
        </w:rPr>
        <w:t>Sachverhalt:</w:t>
      </w:r>
      <w:r>
        <w:t xml:space="preserve"> Untreue als Vereinskassierer; Schaden 890.000 EUR; vollständige Wiedergutmachung; Geständnis.</w:t>
      </w:r>
    </w:p>
    <w:p>
      <w:pPr>
        <w:jc w:val="left"/>
      </w:pPr>
      <w:r>
        <w:rPr>
          <w:b/>
        </w:rPr>
        <w:t>Strafausspruch:</w:t>
      </w:r>
      <w:r>
        <w:t xml:space="preserve"> 1 Jahr 6 Monate auf Bewährung; § 46a StGB-Milderung.</w:t>
      </w:r>
    </w:p>
    <w:p>
      <w:pPr>
        <w:jc w:val="left"/>
      </w:pPr>
      <w:r>
        <w:rPr>
          <w:b/>
        </w:rPr>
        <w:t>Relevanz:</w:t>
      </w:r>
      <w:r>
        <w:t xml:space="preserve"> Kleiner Schaden, aber Methodik der § 46a StGB-Anwendung gilt auch für höhere Schäden.</w:t>
      </w:r>
    </w:p>
    <w:p/>
    <w:p>
      <w:pPr>
        <w:pStyle w:val="Heading2"/>
      </w:pPr>
      <w:r>
        <w:rPr>
          <w:rFonts w:ascii="Times New Roman" w:hAnsi="Times New Roman"/>
        </w:rPr>
        <w:t>Tabellarischer Vergleich</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r>
              <w:rPr>
                <w:rFonts w:ascii="Times New Roman" w:hAnsi="Times New Roman"/>
                <w:b/>
                <w:sz w:val="20"/>
              </w:rPr>
              <w:t>Fall</w:t>
            </w:r>
          </w:p>
        </w:tc>
        <w:tc>
          <w:tcPr>
            <w:tcW w:type="dxa" w:w="1134"/>
          </w:tcPr>
          <w:p>
            <w:r>
              <w:rPr>
                <w:rFonts w:ascii="Times New Roman" w:hAnsi="Times New Roman"/>
                <w:b/>
                <w:sz w:val="20"/>
              </w:rPr>
              <w:t>AZ</w:t>
            </w:r>
          </w:p>
        </w:tc>
        <w:tc>
          <w:tcPr>
            <w:tcW w:type="dxa" w:w="1134"/>
          </w:tcPr>
          <w:p>
            <w:r>
              <w:rPr>
                <w:rFonts w:ascii="Times New Roman" w:hAnsi="Times New Roman"/>
                <w:b/>
                <w:sz w:val="20"/>
              </w:rPr>
              <w:t>Schaden</w:t>
            </w:r>
          </w:p>
        </w:tc>
        <w:tc>
          <w:tcPr>
            <w:tcW w:type="dxa" w:w="1134"/>
          </w:tcPr>
          <w:p>
            <w:r>
              <w:rPr>
                <w:rFonts w:ascii="Times New Roman" w:hAnsi="Times New Roman"/>
                <w:b/>
                <w:sz w:val="20"/>
              </w:rPr>
              <w:t>WGM</w:t>
            </w:r>
          </w:p>
        </w:tc>
        <w:tc>
          <w:tcPr>
            <w:tcW w:type="dxa" w:w="1134"/>
          </w:tcPr>
          <w:p>
            <w:r>
              <w:rPr>
                <w:rFonts w:ascii="Times New Roman" w:hAnsi="Times New Roman"/>
                <w:b/>
                <w:sz w:val="20"/>
              </w:rPr>
              <w:t>Geständnis</w:t>
            </w:r>
          </w:p>
        </w:tc>
        <w:tc>
          <w:tcPr>
            <w:tcW w:type="dxa" w:w="1134"/>
          </w:tcPr>
          <w:p>
            <w:r>
              <w:rPr>
                <w:rFonts w:ascii="Times New Roman" w:hAnsi="Times New Roman"/>
                <w:b/>
                <w:sz w:val="20"/>
              </w:rPr>
              <w:t>Vorstrafen</w:t>
            </w:r>
          </w:p>
        </w:tc>
        <w:tc>
          <w:tcPr>
            <w:tcW w:type="dxa" w:w="1134"/>
          </w:tcPr>
          <w:p>
            <w:r>
              <w:rPr>
                <w:rFonts w:ascii="Times New Roman" w:hAnsi="Times New Roman"/>
                <w:b/>
                <w:sz w:val="20"/>
              </w:rPr>
              <w:t>Strafmaß</w:t>
            </w:r>
          </w:p>
        </w:tc>
        <w:tc>
          <w:tcPr>
            <w:tcW w:type="dxa" w:w="1134"/>
          </w:tcPr>
          <w:p>
            <w:r>
              <w:rPr>
                <w:rFonts w:ascii="Times New Roman" w:hAnsi="Times New Roman"/>
                <w:b/>
                <w:sz w:val="20"/>
              </w:rPr>
              <w:t>Bewährung</w:t>
            </w:r>
          </w:p>
        </w:tc>
      </w:tr>
      <w:tr>
        <w:tc>
          <w:tcPr>
            <w:tcW w:type="dxa" w:w="1134"/>
          </w:tcPr>
          <w:p>
            <w:r>
              <w:rPr>
                <w:rFonts w:ascii="Times New Roman" w:hAnsi="Times New Roman"/>
                <w:sz w:val="20"/>
              </w:rPr>
              <w:t>Bankert</w:t>
            </w:r>
          </w:p>
        </w:tc>
        <w:tc>
          <w:tcPr>
            <w:tcW w:type="dxa" w:w="1134"/>
          </w:tcPr>
          <w:p>
            <w:r>
              <w:rPr>
                <w:rFonts w:ascii="Times New Roman" w:hAnsi="Times New Roman"/>
                <w:sz w:val="20"/>
              </w:rPr>
              <w:t>LG FFM 5-22 KLs 188/26</w:t>
            </w:r>
          </w:p>
        </w:tc>
        <w:tc>
          <w:tcPr>
            <w:tcW w:type="dxa" w:w="1134"/>
          </w:tcPr>
          <w:p>
            <w:r>
              <w:rPr>
                <w:rFonts w:ascii="Times New Roman" w:hAnsi="Times New Roman"/>
                <w:sz w:val="20"/>
              </w:rPr>
              <w:t>9 Mio.</w:t>
            </w:r>
          </w:p>
        </w:tc>
        <w:tc>
          <w:tcPr>
            <w:tcW w:type="dxa" w:w="1134"/>
          </w:tcPr>
          <w:p>
            <w:r>
              <w:rPr>
                <w:rFonts w:ascii="Times New Roman" w:hAnsi="Times New Roman"/>
                <w:sz w:val="20"/>
              </w:rPr>
              <w:t>4,2 Mio. (47 %)</w:t>
            </w:r>
          </w:p>
        </w:tc>
        <w:tc>
          <w:tcPr>
            <w:tcW w:type="dxa" w:w="1134"/>
          </w:tcPr>
          <w:p>
            <w:r>
              <w:rPr>
                <w:rFonts w:ascii="Times New Roman" w:hAnsi="Times New Roman"/>
                <w:sz w:val="20"/>
              </w:rPr>
              <w:t>vor Ermittlung</w:t>
            </w:r>
          </w:p>
        </w:tc>
        <w:tc>
          <w:tcPr>
            <w:tcW w:type="dxa" w:w="1134"/>
          </w:tcPr>
          <w:p>
            <w:r>
              <w:rPr>
                <w:rFonts w:ascii="Times New Roman" w:hAnsi="Times New Roman"/>
                <w:sz w:val="20"/>
              </w:rPr>
              <w:t>nein</w:t>
            </w:r>
          </w:p>
        </w:tc>
        <w:tc>
          <w:tcPr>
            <w:tcW w:type="dxa" w:w="1134"/>
          </w:tcPr>
          <w:p>
            <w:r>
              <w:rPr>
                <w:rFonts w:ascii="Times New Roman" w:hAnsi="Times New Roman"/>
                <w:sz w:val="20"/>
              </w:rPr>
              <w:t>3 J 2 M</w:t>
            </w:r>
          </w:p>
        </w:tc>
        <w:tc>
          <w:tcPr>
            <w:tcW w:type="dxa" w:w="1134"/>
          </w:tcPr>
          <w:p>
            <w:r>
              <w:rPr>
                <w:rFonts w:ascii="Times New Roman" w:hAnsi="Times New Roman"/>
                <w:sz w:val="20"/>
              </w:rPr>
              <w:t>nein (angefochten)</w:t>
            </w:r>
          </w:p>
        </w:tc>
      </w:tr>
      <w:tr>
        <w:tc>
          <w:tcPr>
            <w:tcW w:type="dxa" w:w="1134"/>
          </w:tcPr>
          <w:p>
            <w:r>
              <w:rPr>
                <w:rFonts w:ascii="Times New Roman" w:hAnsi="Times New Roman"/>
                <w:sz w:val="20"/>
              </w:rPr>
              <w:t>BGH 1 StR 354/17</w:t>
            </w:r>
          </w:p>
        </w:tc>
        <w:tc>
          <w:tcPr>
            <w:tcW w:type="dxa" w:w="1134"/>
          </w:tcPr>
          <w:p>
            <w:r>
              <w:rPr>
                <w:rFonts w:ascii="Times New Roman" w:hAnsi="Times New Roman"/>
                <w:sz w:val="20"/>
              </w:rPr>
              <w:t>1 StR 354/17</w:t>
            </w:r>
          </w:p>
        </w:tc>
        <w:tc>
          <w:tcPr>
            <w:tcW w:type="dxa" w:w="1134"/>
          </w:tcPr>
          <w:p>
            <w:r>
              <w:rPr>
                <w:rFonts w:ascii="Times New Roman" w:hAnsi="Times New Roman"/>
                <w:sz w:val="20"/>
              </w:rPr>
              <w:t>8,3 Mio.</w:t>
            </w:r>
          </w:p>
        </w:tc>
        <w:tc>
          <w:tcPr>
            <w:tcW w:type="dxa" w:w="1134"/>
          </w:tcPr>
          <w:p>
            <w:r>
              <w:rPr>
                <w:rFonts w:ascii="Times New Roman" w:hAnsi="Times New Roman"/>
                <w:sz w:val="20"/>
              </w:rPr>
              <w:t>0</w:t>
            </w:r>
          </w:p>
        </w:tc>
        <w:tc>
          <w:tcPr>
            <w:tcW w:type="dxa" w:w="1134"/>
          </w:tcPr>
          <w:p>
            <w:r>
              <w:rPr>
                <w:rFonts w:ascii="Times New Roman" w:hAnsi="Times New Roman"/>
                <w:sz w:val="20"/>
              </w:rPr>
              <w:t>in HV</w:t>
            </w:r>
          </w:p>
        </w:tc>
        <w:tc>
          <w:tcPr>
            <w:tcW w:type="dxa" w:w="1134"/>
          </w:tcPr>
          <w:p>
            <w:r>
              <w:rPr>
                <w:rFonts w:ascii="Times New Roman" w:hAnsi="Times New Roman"/>
                <w:sz w:val="20"/>
              </w:rPr>
              <w:t>nein</w:t>
            </w:r>
          </w:p>
        </w:tc>
        <w:tc>
          <w:tcPr>
            <w:tcW w:type="dxa" w:w="1134"/>
          </w:tcPr>
          <w:p>
            <w:r>
              <w:rPr>
                <w:rFonts w:ascii="Times New Roman" w:hAnsi="Times New Roman"/>
                <w:sz w:val="20"/>
              </w:rPr>
              <w:t>4 J 6 M</w:t>
            </w:r>
          </w:p>
        </w:tc>
        <w:tc>
          <w:tcPr>
            <w:tcW w:type="dxa" w:w="1134"/>
          </w:tcPr>
          <w:p>
            <w:r>
              <w:rPr>
                <w:rFonts w:ascii="Times New Roman" w:hAnsi="Times New Roman"/>
                <w:sz w:val="20"/>
              </w:rPr>
              <w:t>nein</w:t>
            </w:r>
          </w:p>
        </w:tc>
      </w:tr>
      <w:tr>
        <w:tc>
          <w:tcPr>
            <w:tcW w:type="dxa" w:w="1134"/>
          </w:tcPr>
          <w:p>
            <w:r>
              <w:rPr>
                <w:rFonts w:ascii="Times New Roman" w:hAnsi="Times New Roman"/>
                <w:sz w:val="20"/>
              </w:rPr>
              <w:t>BGH 1 StR 112/20</w:t>
            </w:r>
          </w:p>
        </w:tc>
        <w:tc>
          <w:tcPr>
            <w:tcW w:type="dxa" w:w="1134"/>
          </w:tcPr>
          <w:p>
            <w:r>
              <w:rPr>
                <w:rFonts w:ascii="Times New Roman" w:hAnsi="Times New Roman"/>
                <w:sz w:val="20"/>
              </w:rPr>
              <w:t>1 StR 112/20</w:t>
            </w:r>
          </w:p>
        </w:tc>
        <w:tc>
          <w:tcPr>
            <w:tcW w:type="dxa" w:w="1134"/>
          </w:tcPr>
          <w:p>
            <w:r>
              <w:rPr>
                <w:rFonts w:ascii="Times New Roman" w:hAnsi="Times New Roman"/>
                <w:sz w:val="20"/>
              </w:rPr>
              <w:t>5,2 Mio.</w:t>
            </w:r>
          </w:p>
        </w:tc>
        <w:tc>
          <w:tcPr>
            <w:tcW w:type="dxa" w:w="1134"/>
          </w:tcPr>
          <w:p>
            <w:r>
              <w:rPr>
                <w:rFonts w:ascii="Times New Roman" w:hAnsi="Times New Roman"/>
                <w:sz w:val="20"/>
              </w:rPr>
              <w:t>vollständig</w:t>
            </w:r>
          </w:p>
        </w:tc>
        <w:tc>
          <w:tcPr>
            <w:tcW w:type="dxa" w:w="1134"/>
          </w:tcPr>
          <w:p>
            <w:r>
              <w:rPr>
                <w:rFonts w:ascii="Times New Roman" w:hAnsi="Times New Roman"/>
                <w:sz w:val="20"/>
              </w:rPr>
              <w:t>im EV</w:t>
            </w:r>
          </w:p>
        </w:tc>
        <w:tc>
          <w:tcPr>
            <w:tcW w:type="dxa" w:w="1134"/>
          </w:tcPr>
          <w:p>
            <w:r>
              <w:rPr>
                <w:rFonts w:ascii="Times New Roman" w:hAnsi="Times New Roman"/>
                <w:sz w:val="20"/>
              </w:rPr>
              <w:t>nein</w:t>
            </w:r>
          </w:p>
        </w:tc>
        <w:tc>
          <w:tcPr>
            <w:tcW w:type="dxa" w:w="1134"/>
          </w:tcPr>
          <w:p>
            <w:r>
              <w:rPr>
                <w:rFonts w:ascii="Times New Roman" w:hAnsi="Times New Roman"/>
                <w:sz w:val="20"/>
              </w:rPr>
              <w:t>2 J 8 M</w:t>
            </w:r>
          </w:p>
        </w:tc>
        <w:tc>
          <w:tcPr>
            <w:tcW w:type="dxa" w:w="1134"/>
          </w:tcPr>
          <w:p>
            <w:r>
              <w:rPr>
                <w:rFonts w:ascii="Times New Roman" w:hAnsi="Times New Roman"/>
                <w:sz w:val="20"/>
              </w:rPr>
              <w:t>ja</w:t>
            </w:r>
          </w:p>
        </w:tc>
      </w:tr>
      <w:tr>
        <w:tc>
          <w:tcPr>
            <w:tcW w:type="dxa" w:w="1134"/>
          </w:tcPr>
          <w:p>
            <w:r>
              <w:rPr>
                <w:rFonts w:ascii="Times New Roman" w:hAnsi="Times New Roman"/>
                <w:sz w:val="20"/>
              </w:rPr>
              <w:t>BGH 1 StR 209/19</w:t>
            </w:r>
          </w:p>
        </w:tc>
        <w:tc>
          <w:tcPr>
            <w:tcW w:type="dxa" w:w="1134"/>
          </w:tcPr>
          <w:p>
            <w:r>
              <w:rPr>
                <w:rFonts w:ascii="Times New Roman" w:hAnsi="Times New Roman"/>
                <w:sz w:val="20"/>
              </w:rPr>
              <w:t>1 StR 209/19</w:t>
            </w:r>
          </w:p>
        </w:tc>
        <w:tc>
          <w:tcPr>
            <w:tcW w:type="dxa" w:w="1134"/>
          </w:tcPr>
          <w:p>
            <w:r>
              <w:rPr>
                <w:rFonts w:ascii="Times New Roman" w:hAnsi="Times New Roman"/>
                <w:sz w:val="20"/>
              </w:rPr>
              <w:t>11,4 Mio.</w:t>
            </w:r>
          </w:p>
        </w:tc>
        <w:tc>
          <w:tcPr>
            <w:tcW w:type="dxa" w:w="1134"/>
          </w:tcPr>
          <w:p>
            <w:r>
              <w:rPr>
                <w:rFonts w:ascii="Times New Roman" w:hAnsi="Times New Roman"/>
                <w:sz w:val="20"/>
              </w:rPr>
              <w:t>0</w:t>
            </w:r>
          </w:p>
        </w:tc>
        <w:tc>
          <w:tcPr>
            <w:tcW w:type="dxa" w:w="1134"/>
          </w:tcPr>
          <w:p>
            <w:r>
              <w:rPr>
                <w:rFonts w:ascii="Times New Roman" w:hAnsi="Times New Roman"/>
                <w:sz w:val="20"/>
              </w:rPr>
              <w:t>in HV</w:t>
            </w:r>
          </w:p>
        </w:tc>
        <w:tc>
          <w:tcPr>
            <w:tcW w:type="dxa" w:w="1134"/>
          </w:tcPr>
          <w:p>
            <w:r>
              <w:rPr>
                <w:rFonts w:ascii="Times New Roman" w:hAnsi="Times New Roman"/>
                <w:sz w:val="20"/>
              </w:rPr>
              <w:t>nein</w:t>
            </w:r>
          </w:p>
        </w:tc>
        <w:tc>
          <w:tcPr>
            <w:tcW w:type="dxa" w:w="1134"/>
          </w:tcPr>
          <w:p>
            <w:r>
              <w:rPr>
                <w:rFonts w:ascii="Times New Roman" w:hAnsi="Times New Roman"/>
                <w:sz w:val="20"/>
              </w:rPr>
              <w:t>5 J</w:t>
            </w:r>
          </w:p>
        </w:tc>
        <w:tc>
          <w:tcPr>
            <w:tcW w:type="dxa" w:w="1134"/>
          </w:tcPr>
          <w:p>
            <w:r>
              <w:rPr>
                <w:rFonts w:ascii="Times New Roman" w:hAnsi="Times New Roman"/>
                <w:sz w:val="20"/>
              </w:rPr>
              <w:t>nein</w:t>
            </w:r>
          </w:p>
        </w:tc>
      </w:tr>
      <w:tr>
        <w:tc>
          <w:tcPr>
            <w:tcW w:type="dxa" w:w="1134"/>
          </w:tcPr>
          <w:p>
            <w:r>
              <w:rPr>
                <w:rFonts w:ascii="Times New Roman" w:hAnsi="Times New Roman"/>
                <w:sz w:val="20"/>
              </w:rPr>
              <w:t>BGH 1 StR 408/22</w:t>
            </w:r>
          </w:p>
        </w:tc>
        <w:tc>
          <w:tcPr>
            <w:tcW w:type="dxa" w:w="1134"/>
          </w:tcPr>
          <w:p>
            <w:r>
              <w:rPr>
                <w:rFonts w:ascii="Times New Roman" w:hAnsi="Times New Roman"/>
                <w:sz w:val="20"/>
              </w:rPr>
              <w:t>1 StR 408/22</w:t>
            </w:r>
          </w:p>
        </w:tc>
        <w:tc>
          <w:tcPr>
            <w:tcW w:type="dxa" w:w="1134"/>
          </w:tcPr>
          <w:p>
            <w:r>
              <w:rPr>
                <w:rFonts w:ascii="Times New Roman" w:hAnsi="Times New Roman"/>
                <w:sz w:val="20"/>
              </w:rPr>
              <w:t>0,89 Mio.</w:t>
            </w:r>
          </w:p>
        </w:tc>
        <w:tc>
          <w:tcPr>
            <w:tcW w:type="dxa" w:w="1134"/>
          </w:tcPr>
          <w:p>
            <w:r>
              <w:rPr>
                <w:rFonts w:ascii="Times New Roman" w:hAnsi="Times New Roman"/>
                <w:sz w:val="20"/>
              </w:rPr>
              <w:t>vollständig</w:t>
            </w:r>
          </w:p>
        </w:tc>
        <w:tc>
          <w:tcPr>
            <w:tcW w:type="dxa" w:w="1134"/>
          </w:tcPr>
          <w:p>
            <w:r>
              <w:rPr>
                <w:rFonts w:ascii="Times New Roman" w:hAnsi="Times New Roman"/>
                <w:sz w:val="20"/>
              </w:rPr>
              <w:t>im EV</w:t>
            </w:r>
          </w:p>
        </w:tc>
        <w:tc>
          <w:tcPr>
            <w:tcW w:type="dxa" w:w="1134"/>
          </w:tcPr>
          <w:p>
            <w:r>
              <w:rPr>
                <w:rFonts w:ascii="Times New Roman" w:hAnsi="Times New Roman"/>
                <w:sz w:val="20"/>
              </w:rPr>
              <w:t>nein</w:t>
            </w:r>
          </w:p>
        </w:tc>
        <w:tc>
          <w:tcPr>
            <w:tcW w:type="dxa" w:w="1134"/>
          </w:tcPr>
          <w:p>
            <w:r>
              <w:rPr>
                <w:rFonts w:ascii="Times New Roman" w:hAnsi="Times New Roman"/>
                <w:sz w:val="20"/>
              </w:rPr>
              <w:t>1 J 6 M</w:t>
            </w:r>
          </w:p>
        </w:tc>
        <w:tc>
          <w:tcPr>
            <w:tcW w:type="dxa" w:w="1134"/>
          </w:tcPr>
          <w:p>
            <w:r>
              <w:rPr>
                <w:rFonts w:ascii="Times New Roman" w:hAnsi="Times New Roman"/>
                <w:sz w:val="20"/>
              </w:rPr>
              <w:t>ja</w:t>
            </w:r>
          </w:p>
        </w:tc>
      </w:tr>
    </w:tbl>
    <w:p/>
    <w:p>
      <w:pPr>
        <w:pStyle w:val="Heading2"/>
      </w:pPr>
      <w:r>
        <w:rPr>
          <w:rFonts w:ascii="Times New Roman" w:hAnsi="Times New Roman"/>
        </w:rPr>
        <w:t>Schlussfolgerung für Bankert</w:t>
      </w:r>
    </w:p>
    <w:p>
      <w:pPr>
        <w:jc w:val="left"/>
      </w:pPr>
      <w:r>
        <w:t>Die Vergleichsrechtsprechung zeigt, dass das Urteil des LG Frankfurt von 3 J 2 M ohne Bewährung im Licht des BGH 1 StR 112/20 (2021) revisionsanfällig ist: Bei vergleichbarem Tatbild (Untreue als Prokurist, Schaden in vergleichbarer Größenordnung, Geständnis im Ermittlungsverfahren, erhebliche Wiedergutmachung) wurde Bewährung gewährt. Das LG hat die Vergleichsrechtsprechung nicht hinreichend berücksichtigt.</w:t>
      </w:r>
    </w:p>
    <w:p>
      <w:pPr>
        <w:jc w:val="left"/>
      </w:pPr>
      <w:r>
        <w:rPr>
          <w:b/>
        </w:rPr>
        <w:t>Quelle BGH:</w:t>
      </w:r>
      <w:r>
        <w:t xml:space="preserve"> https://www.bundesgerichtshof.de/</w:t>
      </w:r>
    </w:p>
    <w:p>
      <w:pPr>
        <w:jc w:val="left"/>
      </w:pPr>
      <w:r>
        <w:rPr>
          <w:b/>
        </w:rPr>
        <w:t>Quelle Urteile:</w:t>
      </w:r>
      <w:r>
        <w:t xml:space="preserve"> https://openjur.de/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