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Spielraum-Theorie — BGHSt 7, 28</w:t>
      </w:r>
    </w:p>
    <w:p>
      <w:pPr>
        <w:jc w:val="left"/>
      </w:pPr>
      <w:r>
        <w:rPr>
          <w:b/>
        </w:rPr>
        <w:t>Aktenzeichen:</w:t>
      </w:r>
      <w:r>
        <w:t xml:space="preserve"> LG Frankfurt 5-22 KLs 188/26</w:t>
      </w:r>
    </w:p>
    <w:p>
      <w:pPr>
        <w:jc w:val="left"/>
      </w:pPr>
      <w:r>
        <w:rPr>
          <w:b/>
        </w:rPr>
        <w:t>Bearbeitung:</w:t>
      </w:r>
      <w:r>
        <w:t xml:space="preserve"> Kanzlei Wittfeldt-Steinheim</w:t>
      </w:r>
    </w:p>
    <w:p>
      <w:pPr>
        <w:jc w:val="left"/>
      </w:pPr>
      <w:r>
        <w:rPr>
          <w:b/>
        </w:rPr>
        <w:t>Datum:</w:t>
      </w:r>
      <w:r>
        <w:t xml:space="preserve"> 23.03.2026</w:t>
      </w:r>
    </w:p>
    <w:p/>
    <w:p>
      <w:pPr>
        <w:pStyle w:val="Heading2"/>
      </w:pPr>
      <w:r>
        <w:rPr>
          <w:rFonts w:ascii="Times New Roman" w:hAnsi="Times New Roman"/>
        </w:rPr>
        <w:t>Grundsatz: BGHSt 7, 28 — Spielraum-Theorie</w:t>
      </w:r>
    </w:p>
    <w:p>
      <w:pPr>
        <w:jc w:val="left"/>
      </w:pPr>
      <w:r>
        <w:rPr>
          <w:b/>
        </w:rPr>
        <w:t>Leitsatz (BGHSt 7, 28, BGH Urteil vom 10.11.1954 — 5 StR 476/54):</w:t>
      </w:r>
    </w:p>
    <w:p>
      <w:pPr>
        <w:ind w:left="567"/>
      </w:pPr>
      <w:r>
        <w:rPr>
          <w:i/>
        </w:rPr>
        <w:t>Die Strafe muss schuldangemessen sein. Es gibt jedoch nicht nur eine einzige schuldangemessene Strafe, sondern einen Spielraum schuldangemessener Strafen, innerhalb dessen der Richter die Strafe nach pflichtgemäßem Ermessen bestimmt. Präventive Gesichtspunkte dürfen die Strafe innerhalb dieses Spielraums, nicht aber über seine Grenzen hinaus beeinflussen.</w:t>
      </w:r>
    </w:p>
    <w:p>
      <w:pPr>
        <w:jc w:val="left"/>
      </w:pPr>
      <w:r>
        <w:rPr>
          <w:b/>
        </w:rPr>
        <w:t>Quelle:</w:t>
      </w:r>
      <w:r>
        <w:t xml:space="preserve"> BGHSt 7, 28; https://openjur.de/</w:t>
      </w:r>
    </w:p>
    <w:p/>
    <w:p>
      <w:pPr>
        <w:pStyle w:val="Heading2"/>
      </w:pPr>
      <w:r>
        <w:rPr>
          <w:rFonts w:ascii="Times New Roman" w:hAnsi="Times New Roman"/>
        </w:rPr>
        <w:t>Die drei Elemente der Spielraum-Theorie</w:t>
      </w:r>
    </w:p>
    <w:p>
      <w:pPr>
        <w:pStyle w:val="Heading3"/>
      </w:pPr>
      <w:r>
        <w:rPr>
          <w:rFonts w:ascii="Times New Roman" w:hAnsi="Times New Roman"/>
        </w:rPr>
        <w:t>1. Schuldrahmen (Strafzumessungsschuld)</w:t>
      </w:r>
    </w:p>
    <w:p>
      <w:pPr>
        <w:jc w:val="left"/>
      </w:pPr>
      <w:r>
        <w:t>Der Schuldrahmen ist die äußere Grenze: Er wird nach oben durch den maximalen Schuldgehalt der Tat (hier: § 266 Abs. 2 StGB, 10 Jahre) und nach unten durch das Mindestmaß begrenzt. Der Tatrichter darf keine Strafe außerhalb dieses Rahmens verhängen.</w:t>
      </w:r>
    </w:p>
    <w:p>
      <w:pPr>
        <w:jc w:val="left"/>
      </w:pPr>
      <w:r>
        <w:rPr>
          <w:b/>
        </w:rPr>
        <w:t>Im Fall Bankert:</w:t>
      </w:r>
    </w:p>
    <w:p>
      <w:pPr>
        <w:pStyle w:val="ListBullet"/>
      </w:pPr>
      <w:r>
        <w:t>Ohne § 46a StGB: Mindest 1 Jahr, Höchst 10 Jahre.</w:t>
      </w:r>
    </w:p>
    <w:p>
      <w:pPr>
        <w:pStyle w:val="ListBullet"/>
      </w:pPr>
      <w:r>
        <w:t>Mit § 46a StGB + § 49 Abs. 1 StGB (Milderung): Mindest 3 Monate, Höchst 7 Jahre 6 Monate.</w:t>
      </w:r>
    </w:p>
    <w:p>
      <w:pPr>
        <w:pStyle w:val="Heading3"/>
      </w:pPr>
      <w:r>
        <w:rPr>
          <w:rFonts w:ascii="Times New Roman" w:hAnsi="Times New Roman"/>
        </w:rPr>
        <w:t>2. Spielraum schuldangemessener Strafen</w:t>
      </w:r>
    </w:p>
    <w:p>
      <w:pPr>
        <w:jc w:val="left"/>
      </w:pPr>
      <w:r>
        <w:t>Innerhalb des Schuldrahmens gibt es nicht eine einzige "richtige" Strafe, sondern einen Spielraum, in dem mehrere Strafen schuldangemessen wären. Der BGH (BGHSt 7, 28) stellt klar, dass der Tatrichter nicht gezwungen ist, die "punktgenaue" Strafe zu finden.</w:t>
      </w:r>
    </w:p>
    <w:p>
      <w:pPr>
        <w:jc w:val="left"/>
      </w:pPr>
      <w:r>
        <w:rPr>
          <w:b/>
        </w:rPr>
        <w:t>Spielraum im Fall Bankert (Verteidigungsberechnung):</w:t>
      </w:r>
    </w:p>
    <w:p>
      <w:pPr>
        <w:pStyle w:val="ListBullet"/>
      </w:pPr>
      <w:r>
        <w:t>Schuldrahmen: 1 bis 7 J 6 M (mit § 46a-Milderung möglich).</w:t>
      </w:r>
    </w:p>
    <w:p>
      <w:pPr>
        <w:pStyle w:val="ListBullet"/>
      </w:pPr>
      <w:r>
        <w:t>Spielraum: nach Abwägung aller Strafzumessungsumstände: 2 bis 4 Jahre Freiheitsstrafe.</w:t>
      </w:r>
    </w:p>
    <w:p>
      <w:pPr>
        <w:pStyle w:val="ListBullet"/>
      </w:pPr>
      <w:r>
        <w:t>Innerhalb dieses Spielraums sind 2 J 6 M (Verteidigungsantrag) und 3 J 2 M (LG-Urteil) beide vertretbar.</w:t>
      </w:r>
    </w:p>
    <w:p>
      <w:pPr>
        <w:pStyle w:val="Heading3"/>
      </w:pPr>
      <w:r>
        <w:rPr>
          <w:rFonts w:ascii="Times New Roman" w:hAnsi="Times New Roman"/>
        </w:rPr>
        <w:t>3. Präventive Modifikation innerhalb des Spielraums</w:t>
      </w:r>
    </w:p>
    <w:p>
      <w:pPr>
        <w:jc w:val="left"/>
      </w:pPr>
      <w:r>
        <w:t>Generalprävention und Spezialprävention dürfen die konkrete Strafe innerhalb des Spielraums beeinflussen — aber nicht außerhalb. Eine Straferhöhung über den Spielraum hinaus aus generalpräventiven Gründen ist unzulässig.</w:t>
      </w:r>
    </w:p>
    <w:p>
      <w:pPr>
        <w:jc w:val="left"/>
      </w:pPr>
      <w:r>
        <w:rPr>
          <w:b/>
        </w:rPr>
        <w:t>Bedeutung für Bewährungsfrage (§ 56 Abs. 3 StGB):</w:t>
      </w:r>
    </w:p>
    <w:p>
      <w:pPr>
        <w:jc w:val="left"/>
      </w:pPr>
      <w:r>
        <w:t>§ 56 Abs. 3 StGB ("Verteidigung der Rechtsordnung") erlaubt die Versagung der Bewährung auch bei günstiger Sozialprognose, wenn die Vollstreckung im Hinblick auf das allgemeine Rechtsempfinden unerlässlich erscheint. Die Verteidigung wendet ein: Bei einer Strafe am unteren Rand des Spielraums (2 J 6 M) und erheblicher Wiedergutmachung ist § 56 Abs. 3 StGB nicht anwendbar, weil das allgemeine Rechtsempfinden die Vollstreckung nicht unbedingt erfordert.</w:t>
      </w:r>
    </w:p>
    <w:p/>
    <w:p>
      <w:pPr>
        <w:pStyle w:val="Heading2"/>
      </w:pPr>
      <w:r>
        <w:rPr>
          <w:rFonts w:ascii="Times New Roman" w:hAnsi="Times New Roman"/>
        </w:rPr>
        <w:t>Fehler des LG Frankfurt im Licht der Spielraum-Theorie</w:t>
      </w:r>
    </w:p>
    <w:p>
      <w:pPr>
        <w:jc w:val="left"/>
      </w:pPr>
      <w:r>
        <w:t>Das LG Frankfurt hat im Urteil (Aktenstück 20) ausgeführt, die Strafe von 3 J 2 M liege "im unteren Drittel des schuldangemessenen Spielraums". Diese Formulierung ist revisionswürdig:</w:t>
      </w:r>
    </w:p>
    <w:p>
      <w:pPr>
        <w:jc w:val="left"/>
      </w:pPr>
      <w:r>
        <w:rPr>
          <w:b/>
        </w:rPr>
        <w:t>Fehler 1:</w:t>
      </w:r>
      <w:r>
        <w:t xml:space="preserve"> Das LG hat den Spielraum nicht konkret bestimmt. Ohne Angabe der oberen und unteren Grenze des Spielraums lässt sich nicht nachprüfen, ob 3 J 2 M tatsächlich im unteren Drittel liegt.</w:t>
      </w:r>
    </w:p>
    <w:p>
      <w:pPr>
        <w:jc w:val="left"/>
      </w:pPr>
      <w:r>
        <w:rPr>
          <w:b/>
        </w:rPr>
        <w:t>Fehler 2:</w:t>
      </w:r>
      <w:r>
        <w:t xml:space="preserve"> Das LG hat nicht begründet, warum es trotz der erheblichen § 46a StGB-Milderungsmöglichkeit keine Strafrahmenverschiebung nach § 49 StGB vorgenommen hat. Ohne Strafrahmenverschiebung beginnt der Spielraum bei 1 Jahr; mit Verschiebung läge er tiefer. Diese Unterlassung verfälscht die Spielraumberechnung.</w:t>
      </w:r>
    </w:p>
    <w:p>
      <w:pPr>
        <w:jc w:val="left"/>
      </w:pPr>
      <w:r>
        <w:rPr>
          <w:b/>
        </w:rPr>
        <w:t>Fehler 3:</w:t>
      </w:r>
      <w:r>
        <w:t xml:space="preserve"> Das LG hat den Spielraum mit der Bewährungsfrage vermengt. Die Spielraum-Theorie regelt die Strafhöhe; die Bewährungsentscheidung nach § 56 StGB ist ein eigenständiger Prüfungsschritt. Das LG hat die Bewährungsversagung nicht hinreichend von der Strafzumessung getrennt.</w:t>
      </w:r>
    </w:p>
    <w:p/>
    <w:p>
      <w:pPr>
        <w:pStyle w:val="Heading2"/>
      </w:pPr>
      <w:r>
        <w:rPr>
          <w:rFonts w:ascii="Times New Roman" w:hAnsi="Times New Roman"/>
        </w:rPr>
        <w:t>Revisionsrechtliche Konsequenz</w:t>
      </w:r>
    </w:p>
    <w:p>
      <w:pPr>
        <w:jc w:val="left"/>
      </w:pPr>
      <w:r>
        <w:t>Strafzumessungsfehler nach § 337 StPO sind dann revisibel, wenn:</w:t>
      </w:r>
    </w:p>
    <w:p>
      <w:pPr>
        <w:pStyle w:val="ListNumber"/>
      </w:pPr>
      <w:r>
        <w:t>Das Gericht von unrichtigen tatsächlichen Grundlagen ausgegangen ist.</w:t>
      </w:r>
    </w:p>
    <w:p>
      <w:pPr>
        <w:pStyle w:val="ListNumber"/>
      </w:pPr>
      <w:r>
        <w:t>Das Gericht einen falschen Bewertungsmaßstab angelegt hat.</w:t>
      </w:r>
    </w:p>
    <w:p>
      <w:pPr>
        <w:pStyle w:val="ListNumber"/>
      </w:pPr>
      <w:r>
        <w:t>Die Begründung des Urteils die Überprüfung durch das Revisionsgericht nicht ermöglicht.</w:t>
      </w:r>
    </w:p>
    <w:p>
      <w:pPr>
        <w:jc w:val="left"/>
      </w:pPr>
      <w:r>
        <w:t>Alle drei Fehler liegen im Urteil des LG Frankfurt vor. Der BGH 5. Senat wird voraussichtlich den Strafausspruch aufheben und zur erneuten Verhandlung an das LG zurückverweisen.</w:t>
      </w:r>
    </w:p>
    <w:p>
      <w:pPr>
        <w:jc w:val="left"/>
      </w:pPr>
      <w:r>
        <w:rPr>
          <w:b/>
        </w:rPr>
        <w:t>Quelle BGHSt 7, 28:</w:t>
      </w:r>
      <w:r>
        <w:t xml:space="preserve"> https://openjur.de/</w:t>
      </w:r>
    </w:p>
    <w:p>
      <w:pPr>
        <w:jc w:val="left"/>
      </w:pPr>
      <w:r>
        <w:rPr>
          <w:b/>
        </w:rPr>
        <w:t>Quelle § 337 StPO:</w:t>
      </w:r>
      <w:r>
        <w:t xml:space="preserve"> https://dejure.org/gesetze/StPO/337.html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