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Strafzumessungsvorschlag der Verteidigung — 2 Jahre 6 Monate auf Bewährung</w:t>
      </w:r>
    </w:p>
    <w:p>
      <w:pPr>
        <w:jc w:val="left"/>
      </w:pPr>
      <w:r>
        <w:rPr>
          <w:b/>
        </w:rPr>
        <w:t>Aktenzeichen:</w:t>
      </w:r>
      <w:r>
        <w:t xml:space="preserve"> LG Frankfurt 5-22 KLs 188/26</w:t>
      </w:r>
    </w:p>
    <w:p>
      <w:pPr>
        <w:jc w:val="left"/>
      </w:pPr>
      <w:r>
        <w:rPr>
          <w:b/>
        </w:rPr>
        <w:t>Bearbeitung:</w:t>
      </w:r>
      <w:r>
        <w:t xml:space="preserve"> Prof. Dr. H. Wittfeldt-Steinheim</w:t>
      </w:r>
    </w:p>
    <w:p>
      <w:pPr>
        <w:jc w:val="left"/>
      </w:pPr>
      <w:r>
        <w:rPr>
          <w:b/>
        </w:rPr>
        <w:t>Datum:</w:t>
      </w:r>
      <w:r>
        <w:t xml:space="preserve"> 18.04.2026 (vor Plädoyer)</w:t>
      </w:r>
    </w:p>
    <w:p/>
    <w:p>
      <w:pPr>
        <w:pStyle w:val="Heading2"/>
      </w:pPr>
      <w:r>
        <w:rPr>
          <w:rFonts w:ascii="Times New Roman" w:hAnsi="Times New Roman"/>
        </w:rPr>
        <w:t>Zusammenfassung des Strafzumessungsvorschlags</w:t>
      </w:r>
    </w:p>
    <w:p>
      <w:pPr>
        <w:jc w:val="left"/>
      </w:pPr>
      <w:r>
        <w:t xml:space="preserve">Die Verteidigung beantragt eine Freiheitsstrafe von </w:t>
      </w:r>
      <w:r>
        <w:rPr>
          <w:b/>
        </w:rPr>
        <w:t>2 Jahren und 6 Monaten mit Strafaussetzung zur Bewährung</w:t>
      </w:r>
      <w:r>
        <w:t xml:space="preserve"> gemäß § 56 Abs. 2 StGB.</w:t>
      </w:r>
    </w:p>
    <w:p/>
    <w:p>
      <w:pPr>
        <w:pStyle w:val="Heading2"/>
      </w:pPr>
      <w:r>
        <w:rPr>
          <w:rFonts w:ascii="Times New Roman" w:hAnsi="Times New Roman"/>
        </w:rPr>
        <w:t>Begründung</w:t>
      </w:r>
    </w:p>
    <w:p>
      <w:pPr>
        <w:pStyle w:val="Heading3"/>
      </w:pPr>
      <w:r>
        <w:rPr>
          <w:rFonts w:ascii="Times New Roman" w:hAnsi="Times New Roman"/>
        </w:rPr>
        <w:t>I. Strafrahmen</w:t>
      </w:r>
    </w:p>
    <w:p>
      <w:pPr>
        <w:jc w:val="left"/>
      </w:pPr>
      <w:r>
        <w:t>Ausgangs-Strafrahmen: § 266 Abs. 2 StGB: 1 Jahr bis 10 Jahre.</w:t>
      </w:r>
    </w:p>
    <w:p>
      <w:pPr>
        <w:jc w:val="left"/>
      </w:pPr>
      <w:r>
        <w:t>Mit Strafrahmenverschiebung nach § 46a StGB i.V.m. § 49 Abs. 1 StGB: 3 Monate bis 7 Jahre 6 Monate.</w:t>
      </w:r>
    </w:p>
    <w:p>
      <w:pPr>
        <w:jc w:val="left"/>
      </w:pPr>
      <w:r>
        <w:t>Die Verteidigung beantragt die Strafrahmenverschiebung. Die Voraussetzungen des § 46a Nr. 1 StGB sind erfüllt (Zahlung 4,2 Mio. EUR aus eigenen Mitteln, vor der Hauptverhandlung, auf der Grundlage der freiwilligen Selbstanzeige).</w:t>
      </w:r>
    </w:p>
    <w:p>
      <w:pPr>
        <w:pStyle w:val="Heading3"/>
      </w:pPr>
      <w:r>
        <w:rPr>
          <w:rFonts w:ascii="Times New Roman" w:hAnsi="Times New Roman"/>
        </w:rPr>
        <w:t>II. Strafzumessungsabwägung (§ 46 Abs. 2 StGB)</w:t>
      </w:r>
    </w:p>
    <w:p>
      <w:pPr>
        <w:jc w:val="left"/>
      </w:pPr>
      <w:r>
        <w:rPr>
          <w:b/>
        </w:rPr>
        <w:t>Belastende Umstände:</w:t>
      </w:r>
    </w:p>
    <w:p>
      <w:pPr>
        <w:pStyle w:val="ListNumber"/>
      </w:pPr>
      <w:r>
        <w:t>Schadenshöhe 9 Mio. EUR (Gesamtschaden) — gewichtigstes belastendes Moment.</w:t>
      </w:r>
    </w:p>
    <w:p>
      <w:pPr>
        <w:pStyle w:val="ListNumber"/>
      </w:pPr>
      <w:r>
        <w:t>Tatdauer 4 Jahre und planmäßige Ausführung — erheblich.</w:t>
      </w:r>
    </w:p>
    <w:p>
      <w:pPr>
        <w:pStyle w:val="ListNumber"/>
      </w:pPr>
      <w:r>
        <w:t>Verdeckungshandlungen — erschwerend.</w:t>
      </w:r>
    </w:p>
    <w:p>
      <w:pPr>
        <w:pStyle w:val="ListNumber"/>
      </w:pPr>
      <w:r>
        <w:t>Missbrauch des Vertrauensverhältnisses — mittelgewichtig.</w:t>
      </w:r>
    </w:p>
    <w:p>
      <w:pPr>
        <w:jc w:val="left"/>
      </w:pPr>
      <w:r>
        <w:rPr>
          <w:b/>
        </w:rPr>
        <w:t>Mildernde Umstände:</w:t>
      </w:r>
    </w:p>
    <w:p>
      <w:pPr>
        <w:pStyle w:val="ListNumber"/>
      </w:pPr>
      <w:r>
        <w:t>Geständnis vor Ermittlungsbeginn — gewichtiger Milderungsgrund.</w:t>
      </w:r>
    </w:p>
    <w:p>
      <w:pPr>
        <w:pStyle w:val="ListNumber"/>
      </w:pPr>
      <w:r>
        <w:t>Schadenswiedergutmachung 4,2 Mio. EUR (47 % des Gesamtschadens) — erhebliche Milderung.</w:t>
      </w:r>
    </w:p>
    <w:p>
      <w:pPr>
        <w:pStyle w:val="ListNumber"/>
      </w:pPr>
      <w:r>
        <w:t>Vollständige Vorstrafenfreiheit (54 Jahre) — erheblich.</w:t>
      </w:r>
    </w:p>
    <w:p>
      <w:pPr>
        <w:pStyle w:val="ListNumber"/>
      </w:pPr>
      <w:r>
        <w:t>Kein Eigennutz-Konsum der Taterlöse.</w:t>
      </w:r>
    </w:p>
    <w:p>
      <w:pPr>
        <w:pStyle w:val="ListNumber"/>
      </w:pPr>
      <w:r>
        <w:t>Handeln aus Pflichtgefühl (Verlustausgleich), nicht aus Habgier.</w:t>
      </w:r>
    </w:p>
    <w:p>
      <w:pPr>
        <w:pStyle w:val="ListNumber"/>
      </w:pPr>
      <w:r>
        <w:t>Außergewöhnliche persönliche Folgen (Berufsverlust, Insolvenz, schwer kranke Ehefrau).</w:t>
      </w:r>
    </w:p>
    <w:p>
      <w:pPr>
        <w:pStyle w:val="ListNumber"/>
      </w:pPr>
      <w:r>
        <w:t>Kooperationsbereitschaft im Ermittlungsverfahren.</w:t>
      </w:r>
    </w:p>
    <w:p>
      <w:pPr>
        <w:jc w:val="left"/>
      </w:pPr>
      <w:r>
        <w:rPr>
          <w:b/>
        </w:rPr>
        <w:t>Gesamtabwägung:</w:t>
      </w:r>
    </w:p>
    <w:p>
      <w:pPr>
        <w:jc w:val="left"/>
      </w:pPr>
      <w:r>
        <w:t>Die mildernden Umstände überwiegen in ihrer Gesamtwirkung. Insbesondere die Kombination aus frühzeitigem Geständnis, erheblicher Schadenswiedergutmachung und außergewöhnlichen persönlichen Folgen rechtfertigt eine Strafe an der Untergrenze des schuldangemessenen Spielraums.</w:t>
      </w:r>
    </w:p>
    <w:p>
      <w:pPr>
        <w:jc w:val="left"/>
      </w:pPr>
      <w:r>
        <w:rPr>
          <w:b/>
        </w:rPr>
        <w:t>Ergebnis:</w:t>
      </w:r>
      <w:r>
        <w:t xml:space="preserve"> Eine Freiheitsstrafe von 2 Jahren und 6 Monaten ist schuldangemessen.</w:t>
      </w:r>
    </w:p>
    <w:p>
      <w:pPr>
        <w:pStyle w:val="Heading3"/>
      </w:pPr>
      <w:r>
        <w:rPr>
          <w:rFonts w:ascii="Times New Roman" w:hAnsi="Times New Roman"/>
        </w:rPr>
        <w:t>III. Strafaussetzung zur Bewährung (§ 56 Abs. 2 StGB)</w:t>
      </w:r>
    </w:p>
    <w:p>
      <w:pPr>
        <w:jc w:val="left"/>
      </w:pPr>
      <w:r>
        <w:t>Bei einer Strafe von 2 Jahren und 6 Monaten ist § 56 Abs. 2 StGB (besondere Umstände) erforderlich. Die Verteidigung sieht folgende besondere Umstände:</w:t>
      </w:r>
    </w:p>
    <w:p>
      <w:pPr>
        <w:jc w:val="left"/>
      </w:pPr>
      <w:r>
        <w:rPr>
          <w:b/>
        </w:rPr>
        <w:t>§ 56 Abs. 2 StGB — besondere Umstände:</w:t>
      </w:r>
    </w:p>
    <w:p>
      <w:pPr>
        <w:pStyle w:val="ListBullet"/>
      </w:pPr>
      <w:r>
        <w:t>§ 46a StGB-Wiedergutmachung: Die erhebliche Schadenswiedergutmachung ist ein hervorgehobener Umstand, der Bewährung rechtfertigt (BGH NJW 2015, 84).</w:t>
      </w:r>
    </w:p>
    <w:p>
      <w:pPr>
        <w:pStyle w:val="ListBullet"/>
      </w:pPr>
      <w:r>
        <w:t>Lebensbedrohliche Erkrankung der Ehefrau: Außergewöhnliche Härte der Vollstreckung (BGH NStZ-RR 2016, 204).</w:t>
      </w:r>
    </w:p>
    <w:p>
      <w:pPr>
        <w:pStyle w:val="ListBullet"/>
      </w:pPr>
      <w:r>
        <w:t>Vollständige Vorstrafenfreiheit: Bekräftigt günstige Sozialprognose.</w:t>
      </w:r>
    </w:p>
    <w:p>
      <w:pPr>
        <w:pStyle w:val="ListBullet"/>
      </w:pPr>
      <w:r>
        <w:t>Geständnis und Kooperation: Belegt Bereitschaft zur Normanerkennung.</w:t>
      </w:r>
    </w:p>
    <w:p>
      <w:pPr>
        <w:jc w:val="left"/>
      </w:pPr>
      <w:r>
        <w:rPr>
          <w:b/>
        </w:rPr>
        <w:t>§ 56 Abs. 1 StGB — Sozialprognose:</w:t>
      </w:r>
    </w:p>
    <w:p>
      <w:pPr>
        <w:pStyle w:val="ListBullet"/>
      </w:pPr>
      <w:r>
        <w:t>Ersttäter, stabiles soziales Umfeld (trotz Krise), Arbeitswillen erklärt.</w:t>
      </w:r>
    </w:p>
    <w:p>
      <w:pPr>
        <w:pStyle w:val="ListBullet"/>
      </w:pPr>
      <w:r>
        <w:t>Psychiatrisches Gutachten Dr. Haesler: keine Persönlichkeitsstörung; keine Rückfallgefahr.</w:t>
      </w:r>
    </w:p>
    <w:p>
      <w:pPr>
        <w:pStyle w:val="ListBullet"/>
      </w:pPr>
      <w:r>
        <w:t>Bewährungsprognose: günstig.</w:t>
      </w:r>
    </w:p>
    <w:p>
      <w:pPr>
        <w:jc w:val="left"/>
      </w:pPr>
      <w:r>
        <w:rPr>
          <w:b/>
        </w:rPr>
        <w:t>§ 56 Abs. 3 StGB — Verteidigung der Rechtsordnung:</w:t>
      </w:r>
    </w:p>
    <w:p>
      <w:pPr>
        <w:jc w:val="left"/>
      </w:pPr>
      <w:r>
        <w:t>Bei einer Strafe von 2 J 6 M und erheblicher Schadenswiedergutmachung ist das allgemeine Rechtsempfinden durch eine Bewährungsstrafe nicht verletzt. Der BGH hat ausdrücklich klargestellt, dass § 56 Abs. 3 StGB restriktiv anzuwenden ist und nicht bei jedem erheblichen Schaden greift, wenn alle anderen Milderungsumstände für Bewährung sprechen (BGH NStZ 2021, 375).</w:t>
      </w:r>
    </w:p>
    <w:p/>
    <w:p>
      <w:pPr>
        <w:pStyle w:val="Heading2"/>
      </w:pPr>
      <w:r>
        <w:rPr>
          <w:rFonts w:ascii="Times New Roman" w:hAnsi="Times New Roman"/>
        </w:rPr>
        <w:t>Bewährungsauflagen (Antrag)</w:t>
      </w:r>
    </w:p>
    <w:p>
      <w:pPr>
        <w:jc w:val="left"/>
      </w:pPr>
      <w:r>
        <w:t>Die Verteidigung beantragt als Bewährungsauflagen:</w:t>
      </w:r>
    </w:p>
    <w:p>
      <w:pPr>
        <w:pStyle w:val="ListNumber"/>
      </w:pPr>
      <w:r>
        <w:t>Monatliche Schadensersatzzahlung 2.000 EUR an Müller &amp; Schmitt Treuhand GmbH (60 Monate = 120.000 EUR).</w:t>
      </w:r>
    </w:p>
    <w:p>
      <w:pPr>
        <w:pStyle w:val="ListNumber"/>
      </w:pPr>
      <w:r>
        <w:t>Bewährungszeit 3 Jahre; Bewährungshelfer nach Wahl des Gerichts.</w:t>
      </w:r>
    </w:p>
    <w:p>
      <w:pPr>
        <w:pStyle w:val="ListNumber"/>
      </w:pPr>
      <w:r>
        <w:t>Berufsverbot im Treuhand- und Finanzdienstleistungsbereich (freiwillig angeboten).</w:t>
      </w:r>
    </w:p>
    <w:p>
      <w:pPr>
        <w:pStyle w:val="ListNumber"/>
      </w:pPr>
      <w:r>
        <w:t>Meldepflicht bei der Bewährungshilfe Frankfurt (monatlich).</w:t>
      </w:r>
    </w:p>
    <w:p/>
    <w:p>
      <w:pPr>
        <w:jc w:val="left"/>
      </w:pPr>
      <w:r>
        <w:rPr>
          <w:b/>
        </w:rPr>
        <w:t>Prof. Dr. Henrike Wittfeldt-Steinheim</w:t>
      </w:r>
    </w:p>
    <w:p>
      <w:pPr>
        <w:jc w:val="left"/>
      </w:pPr>
      <w:r>
        <w:t>Rechtsanwältin, Frankfurt am Main</w:t>
      </w:r>
    </w:p>
    <w:p>
      <w:pPr>
        <w:jc w:val="left"/>
      </w:pPr>
      <w:r>
        <w:t>WS-2026-STR-0414</w:t>
      </w:r>
    </w:p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§ 56 StGB: https://dejure.org/gesetze/StGB/56.html</w:t>
      </w:r>
    </w:p>
    <w:p>
      <w:pPr>
        <w:pStyle w:val="ListBullet"/>
      </w:pPr>
      <w:r>
        <w:t>§ 46a StGB: https://dejure.org/gesetze/StGB/46a.html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