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Bewährungsprognose — § 56 StGB</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19.04.2026</w:t>
      </w:r>
    </w:p>
    <w:p/>
    <w:p>
      <w:pPr>
        <w:pStyle w:val="Heading2"/>
      </w:pPr>
      <w:r>
        <w:rPr>
          <w:rFonts w:ascii="Times New Roman" w:hAnsi="Times New Roman"/>
        </w:rPr>
        <w:t>§ 56 StGB — Strafaussetzung zur Bewährung</w:t>
      </w:r>
    </w:p>
    <w:p>
      <w:pPr>
        <w:jc w:val="left"/>
      </w:pPr>
      <w:r>
        <w:rPr>
          <w:b/>
        </w:rPr>
        <w:t>§ 56 Abs. 1 StGB:</w:t>
      </w:r>
      <w:r>
        <w:t xml:space="preserve"> Bei der Verurteilung zu Freiheitsstrafe von nicht mehr als einem Jahr setzt das Gericht die Vollstreckung der Strafe zur Bewährung aus, wenn zu erwarten ist, dass der Verurteilte sich schon die Verurteilung zur Warnung dienen lassen und künftig auch ohne die Einwirkung des Strafvollzugs keine Straftaten mehr begehen wird.</w:t>
      </w:r>
    </w:p>
    <w:p>
      <w:pPr>
        <w:jc w:val="left"/>
      </w:pPr>
      <w:r>
        <w:rPr>
          <w:b/>
        </w:rPr>
        <w:t>§ 56 Abs. 2 StGB:</w:t>
      </w:r>
      <w:r>
        <w:t xml:space="preserve"> Das Gericht kann unter den Voraussetzungen des Absatzes 1 auch bei Verurteilung zu Freiheitsstrafe von mehr als einem Jahr bis zu zwei Jahren die Vollstreckung aussetzen, wenn nach der Gesamtwürdigung von Tat und Persönlichkeit des Verurteilten besondere Umstände vorliegen, die eine Aussetzung rechtfertigen.</w:t>
      </w:r>
    </w:p>
    <w:p>
      <w:pPr>
        <w:jc w:val="left"/>
      </w:pPr>
      <w:r>
        <w:rPr>
          <w:b/>
        </w:rPr>
        <w:t>Quelle:</w:t>
      </w:r>
      <w:r>
        <w:t xml:space="preserve"> https://dejure.org/gesetze/StGB/56.html</w:t>
      </w:r>
    </w:p>
    <w:p/>
    <w:p>
      <w:pPr>
        <w:pStyle w:val="Heading2"/>
      </w:pPr>
      <w:r>
        <w:rPr>
          <w:rFonts w:ascii="Times New Roman" w:hAnsi="Times New Roman"/>
        </w:rPr>
        <w:t>Prognosegutachten / Sozialprognose</w:t>
      </w:r>
    </w:p>
    <w:p>
      <w:pPr>
        <w:pStyle w:val="Heading3"/>
      </w:pPr>
      <w:r>
        <w:rPr>
          <w:rFonts w:ascii="Times New Roman" w:hAnsi="Times New Roman"/>
        </w:rPr>
        <w:t>Psychiatrisches Kurzgutachten (Dr. Isabel Haesler, Frankfurt, 01.04.2026)</w:t>
      </w:r>
    </w:p>
    <w:p>
      <w:pPr>
        <w:jc w:val="left"/>
      </w:pPr>
      <w:r>
        <w:rPr>
          <w:b/>
        </w:rPr>
        <w:t>Aufgabe:</w:t>
      </w:r>
      <w:r>
        <w:t xml:space="preserve"> Einschätzung der Rückfallwahrscheinlichkeit und Bewährungseignung des Angeklagten Konrad Bankert.</w:t>
      </w:r>
    </w:p>
    <w:p>
      <w:pPr>
        <w:jc w:val="left"/>
      </w:pPr>
      <w:r>
        <w:rPr>
          <w:b/>
        </w:rPr>
        <w:t>Ergebnisse:</w:t>
      </w:r>
    </w:p>
    <w:p>
      <w:pPr>
        <w:jc w:val="left"/>
      </w:pPr>
      <w:r>
        <w:rPr>
          <w:b/>
        </w:rPr>
        <w:t>Diagnose:</w:t>
      </w:r>
      <w:r>
        <w:t xml:space="preserve"> Reaktive Depression (ICD-10 F32.1) als Reaktion auf die Tatentdeckung und Untersuchungshaft; behandelt mit Sertralin 100 mg/d; stabiler Zustand.</w:t>
      </w:r>
    </w:p>
    <w:p>
      <w:pPr>
        <w:jc w:val="left"/>
      </w:pPr>
      <w:r>
        <w:rPr>
          <w:b/>
        </w:rPr>
        <w:t>Persönlichkeitsstruktur:</w:t>
      </w:r>
      <w:r>
        <w:t xml:space="preserve"> Keine Persönlichkeitsstörung im klinischen Sinne. Ausgeprägte Gewissenhaftigkeit und Pflichtorientierung; "Overconfidence Bias" als kognitiver Risikofaktor (Überschätzung eigener Handlungsfähigkeit); keine pathologische Impulsivität.</w:t>
      </w:r>
    </w:p>
    <w:p>
      <w:pPr>
        <w:jc w:val="left"/>
      </w:pPr>
      <w:r>
        <w:rPr>
          <w:b/>
        </w:rPr>
        <w:t>Suchtanamnese:</w:t>
      </w:r>
      <w:r>
        <w:t xml:space="preserve"> Kein Alkohol- oder Substanzmissbrauch. Kein Spielverhalten.</w:t>
      </w:r>
    </w:p>
    <w:p>
      <w:pPr>
        <w:jc w:val="left"/>
      </w:pPr>
      <w:r>
        <w:rPr>
          <w:b/>
        </w:rPr>
        <w:t>Rückfallprognose:</w:t>
      </w:r>
      <w:r>
        <w:t xml:space="preserve"> Gering. Die Rahmenbedingungen, unter denen die Tat möglich war (Prokuristenstelle, Zugangsmöglichkeiten) sind dauerhaft entfallen; eine erneute Begehung vergleichbarer Straftaten erscheint unwahrscheinlich.</w:t>
      </w:r>
    </w:p>
    <w:p>
      <w:pPr>
        <w:jc w:val="left"/>
      </w:pPr>
      <w:r>
        <w:rPr>
          <w:b/>
        </w:rPr>
        <w:t>Gutachtliche Einschätzung:</w:t>
      </w:r>
    </w:p>
    <w:p>
      <w:pPr>
        <w:ind w:left="567"/>
      </w:pPr>
      <w:r>
        <w:rPr>
          <w:i/>
        </w:rPr>
        <w:t>"Herr Bankert zeigt echte Reue und hat Verantwortung übernommen. Die Tat resultierte aus einer spezifischen Konstellation (berufliche Sonderposition, finanzieller Druck, kognitive Fehlbewertung), die sich nicht wiederholen wird. Die Rückfallgefahr ist gering. Eine Bewährungs-Eignung ist aus psychiatrischer Sicht zu bejahen."</w:t>
      </w:r>
    </w:p>
    <w:p/>
    <w:p>
      <w:pPr>
        <w:pStyle w:val="Heading2"/>
      </w:pPr>
      <w:r>
        <w:rPr>
          <w:rFonts w:ascii="Times New Roman" w:hAnsi="Times New Roman"/>
        </w:rPr>
        <w:t>Bewährungsvoraussetzungen im Einzelnen</w:t>
      </w:r>
    </w:p>
    <w:p>
      <w:pPr>
        <w:pStyle w:val="Heading3"/>
      </w:pPr>
      <w:r>
        <w:rPr>
          <w:rFonts w:ascii="Times New Roman" w:hAnsi="Times New Roman"/>
        </w:rPr>
        <w:t>§ 56 Abs. 1 StGB (bis 2 Jahre)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Bankert</w:t>
            </w:r>
          </w:p>
        </w:tc>
      </w:tr>
      <w:tr>
        <w:tc>
          <w:tcPr>
            <w:tcW w:type="dxa" w:w="4536"/>
          </w:tcPr>
          <w:p>
            <w:r>
              <w:rPr>
                <w:rFonts w:ascii="Times New Roman" w:hAnsi="Times New Roman"/>
                <w:sz w:val="20"/>
              </w:rPr>
              <w:t>Zu erwartende Warnung durch Verurteilung</w:t>
            </w:r>
          </w:p>
        </w:tc>
        <w:tc>
          <w:tcPr>
            <w:tcW w:type="dxa" w:w="4536"/>
          </w:tcPr>
          <w:p>
            <w:r>
              <w:rPr>
                <w:rFonts w:ascii="Times New Roman" w:hAnsi="Times New Roman"/>
                <w:sz w:val="20"/>
              </w:rPr>
              <w:t>Ja — Bankert zeigt echte Erschütterung; er versteht die Konsequenzen</w:t>
            </w:r>
          </w:p>
        </w:tc>
      </w:tr>
      <w:tr>
        <w:tc>
          <w:tcPr>
            <w:tcW w:type="dxa" w:w="4536"/>
          </w:tcPr>
          <w:p>
            <w:r>
              <w:rPr>
                <w:rFonts w:ascii="Times New Roman" w:hAnsi="Times New Roman"/>
                <w:sz w:val="20"/>
              </w:rPr>
              <w:t>Keine künftigen Straftaten zu erwarten</w:t>
            </w:r>
          </w:p>
        </w:tc>
        <w:tc>
          <w:tcPr>
            <w:tcW w:type="dxa" w:w="4536"/>
          </w:tcPr>
          <w:p>
            <w:r>
              <w:rPr>
                <w:rFonts w:ascii="Times New Roman" w:hAnsi="Times New Roman"/>
                <w:sz w:val="20"/>
              </w:rPr>
              <w:t>Ja — psychiatrische Prognose günstig; berufliche Rahmenbedingungen entfallen</w:t>
            </w:r>
          </w:p>
        </w:tc>
      </w:tr>
      <w:tr>
        <w:tc>
          <w:tcPr>
            <w:tcW w:type="dxa" w:w="4536"/>
          </w:tcPr>
          <w:p>
            <w:r>
              <w:rPr>
                <w:rFonts w:ascii="Times New Roman" w:hAnsi="Times New Roman"/>
                <w:sz w:val="20"/>
              </w:rPr>
              <w:t>Gesamtwürdigung</w:t>
            </w:r>
          </w:p>
        </w:tc>
        <w:tc>
          <w:tcPr>
            <w:tcW w:type="dxa" w:w="4536"/>
          </w:tcPr>
          <w:p>
            <w:r>
              <w:rPr>
                <w:rFonts w:ascii="Times New Roman" w:hAnsi="Times New Roman"/>
                <w:sz w:val="20"/>
              </w:rPr>
              <w:t>Positiv</w:t>
            </w:r>
          </w:p>
        </w:tc>
      </w:tr>
    </w:tbl>
    <w:p>
      <w:pPr>
        <w:pStyle w:val="Heading3"/>
      </w:pPr>
      <w:r>
        <w:rPr>
          <w:rFonts w:ascii="Times New Roman" w:hAnsi="Times New Roman"/>
        </w:rPr>
        <w:t>§ 56 Abs. 2 StGB (bis 2 Jahre; besondere Umstände)</w:t>
      </w:r>
    </w:p>
    <w:p>
      <w:pPr>
        <w:jc w:val="left"/>
      </w:pPr>
      <w:r>
        <w:t>Die Verteidigung hat folgende "besondere Umstände" i.S.d. § 56 Abs. 2 StGB herausgearbeitet:</w:t>
      </w:r>
    </w:p>
    <w:p>
      <w:pPr>
        <w:pStyle w:val="ListNumber"/>
      </w:pPr>
      <w:r>
        <w:rPr>
          <w:b/>
        </w:rPr>
        <w:t>§ 46a StGB-Wiedergutmachung:</w:t>
      </w:r>
      <w:r>
        <w:t xml:space="preserve"> Erhebliche Schadenskompensation als herausgehobener Umstand. Der BGH hat mehrfach bestätigt, dass § 46a-Wiedergutmachung auch bei § 56 Abs. 2 StGB als besonderer Umstand anzuerkennen ist.</w:t>
      </w:r>
    </w:p>
    <w:p>
      <w:pPr>
        <w:pStyle w:val="ListNumber"/>
      </w:pPr>
      <w:r>
        <w:rPr>
          <w:b/>
        </w:rPr>
        <w:t>Lebensbedrohliche Erkrankung der Ehefrau:</w:t>
      </w:r>
      <w:r>
        <w:t xml:space="preserve"> Die Strafvollstreckung trifft nicht nur Bankert, sondern verursacht bei seiner schwer herzerkrankten Ehefrau eine Gefährdung des Lebens (fehlende Begleitung). Der BGH hat anerkannt, dass außergewöhnliche Härten für Familienangehörige besondere Umstände begründen können (BGH NStZ-RR 2016, 204).</w:t>
      </w:r>
    </w:p>
    <w:p>
      <w:pPr>
        <w:pStyle w:val="ListNumber"/>
      </w:pPr>
      <w:r>
        <w:rPr>
          <w:b/>
        </w:rPr>
        <w:t>54 Jahre Vorstrafenfreiheit:</w:t>
      </w:r>
      <w:r>
        <w:t xml:space="preserve"> Bei einem Ersttäter in diesem Alter mit diesem Lebensweg überwiegen die positiven Prognosefaktoren.</w:t>
      </w:r>
    </w:p>
    <w:p>
      <w:pPr>
        <w:pStyle w:val="ListNumber"/>
      </w:pPr>
      <w:r>
        <w:rPr>
          <w:b/>
        </w:rPr>
        <w:t>Vollumfängliches Geständnis vor Ermittlungsbeginn:</w:t>
      </w:r>
      <w:r>
        <w:t xml:space="preserve"> Belegt nicht nur strafzumessungsrechtliche Milderung, sondern auch die Bereitschaft zur Normanerkennung, die für die Sozialprognose konstitutiv ist.</w:t>
      </w:r>
    </w:p>
    <w:p>
      <w:pPr>
        <w:pStyle w:val="Heading3"/>
      </w:pPr>
      <w:r>
        <w:rPr>
          <w:rFonts w:ascii="Times New Roman" w:hAnsi="Times New Roman"/>
        </w:rPr>
        <w:t>§ 56 Abs. 3 StGB (Verteidigung der Rechtsordnung)</w:t>
      </w:r>
    </w:p>
    <w:p>
      <w:pPr>
        <w:jc w:val="left"/>
      </w:pPr>
      <w:r>
        <w:t>Auch bei günstiger Prognose kann Bewährung versagt werden, wenn dies zur Verteidigung der Rechtsordnung unerlässlich ist. Die Verteidigung argumentiert:</w:t>
      </w:r>
    </w:p>
    <w:p>
      <w:pPr>
        <w:pStyle w:val="ListBullet"/>
      </w:pPr>
      <w:r>
        <w:t>Der Begriff "Verteidigung der Rechtsordnung" ist restriktiv auszulegen (BGH NStZ 2021, 375).</w:t>
      </w:r>
    </w:p>
    <w:p>
      <w:pPr>
        <w:pStyle w:val="ListBullet"/>
      </w:pPr>
      <w:r>
        <w:t>Bei einer Strafe von 2 J 6 M und erheblicher Wiedergutmachung ist eine Bewährungsstrafe für das allgemeine Rechtsempfinden nicht unvertretbar.</w:t>
      </w:r>
    </w:p>
    <w:p>
      <w:pPr>
        <w:pStyle w:val="ListBullet"/>
      </w:pPr>
      <w:r>
        <w:t>Insbesondere die öffentliche Zahlung von 4,2 Mio. EUR als Wiedergutmachung demonstriert Verantwortungsübernahme; das allgemeine Rechtsempfinden wird damit befriedigt.</w:t>
      </w:r>
    </w:p>
    <w:p/>
    <w:p>
      <w:pPr>
        <w:pStyle w:val="Heading2"/>
      </w:pPr>
      <w:r>
        <w:rPr>
          <w:rFonts w:ascii="Times New Roman" w:hAnsi="Times New Roman"/>
        </w:rPr>
        <w:t>Zusammenfassung</w:t>
      </w:r>
    </w:p>
    <w:p>
      <w:pPr>
        <w:jc w:val="left"/>
      </w:pPr>
      <w:r>
        <w:t>Die Bewährungsprognose für Konrad Bankert ist günstig. Sämtliche Voraussetzungen des § 56 Abs. 1 und Abs. 2 StGB sind erfüllt. § 56 Abs. 3 StGB greift nicht ein. Die Versagung der Bewährung durch das LG Frankfurt ist revisionsrechtlich angreifbar.</w:t>
      </w:r>
    </w:p>
    <w:p>
      <w:pPr>
        <w:jc w:val="left"/>
      </w:pPr>
      <w:r>
        <w:rPr>
          <w:b/>
        </w:rPr>
        <w:t>Quellen:</w:t>
      </w:r>
    </w:p>
    <w:p>
      <w:pPr>
        <w:pStyle w:val="ListBullet"/>
      </w:pPr>
      <w:r>
        <w:t>§ 56 StGB: https://dejure.org/gesetze/StGB/56.html</w:t>
      </w:r>
    </w:p>
    <w:p>
      <w:pPr>
        <w:pStyle w:val="ListBullet"/>
      </w:pPr>
      <w:r>
        <w:t>BGH Rechtsprechung: https://www.bundesgerichtshof.de/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