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Urteil LG Frankfurt — Strafmaß 3 Jahre 2 Monate</w:t>
      </w:r>
    </w:p>
    <w:p>
      <w:pPr>
        <w:jc w:val="left"/>
      </w:pPr>
      <w:r>
        <w:rPr>
          <w:b/>
        </w:rPr>
        <w:t>Aktenzeichen:</w:t>
      </w:r>
      <w:r>
        <w:t xml:space="preserve"> LG Frankfurt 5-22 KLs 188/26</w:t>
      </w:r>
    </w:p>
    <w:p>
      <w:pPr>
        <w:jc w:val="left"/>
      </w:pPr>
      <w:r>
        <w:rPr>
          <w:b/>
        </w:rPr>
        <w:t>Datum:</w:t>
      </w:r>
      <w:r>
        <w:t xml:space="preserve"> 21. April 2026</w:t>
      </w:r>
    </w:p>
    <w:p>
      <w:pPr>
        <w:jc w:val="left"/>
      </w:pPr>
      <w:r>
        <w:rPr>
          <w:b/>
        </w:rPr>
        <w:t>Kammer:</w:t>
      </w:r>
      <w:r>
        <w:t xml:space="preserve"> 5. Große Strafkammer des LG Frankfurt am Main</w:t>
      </w:r>
    </w:p>
    <w:p/>
    <w:p>
      <w:pPr>
        <w:pStyle w:val="Heading2"/>
      </w:pPr>
      <w:r>
        <w:rPr>
          <w:rFonts w:ascii="Times New Roman" w:hAnsi="Times New Roman"/>
        </w:rPr>
        <w:t>Im Namen des Volkes</w:t>
      </w:r>
    </w:p>
    <w:p>
      <w:pPr>
        <w:jc w:val="left"/>
      </w:pPr>
      <w:r>
        <w:rPr>
          <w:b/>
        </w:rPr>
        <w:t>Urteil</w:t>
      </w:r>
    </w:p>
    <w:p>
      <w:pPr>
        <w:jc w:val="left"/>
      </w:pPr>
      <w:r>
        <w:t>In der Strafsache gegen</w:t>
      </w:r>
    </w:p>
    <w:p>
      <w:pPr>
        <w:jc w:val="left"/>
      </w:pPr>
      <w:r>
        <w:rPr>
          <w:b/>
        </w:rPr>
        <w:t>Konrad Bankert</w:t>
      </w:r>
      <w:r>
        <w:t>, geb. 17.09.1971,</w:t>
      </w:r>
    </w:p>
    <w:p>
      <w:pPr>
        <w:jc w:val="left"/>
      </w:pPr>
      <w:r>
        <w:t>derzeit JVA Frankfurt I,</w:t>
      </w:r>
    </w:p>
    <w:p>
      <w:pPr>
        <w:jc w:val="left"/>
      </w:pPr>
      <w:r>
        <w:t>vertreten durch Verteidigerin Prof. Dr. Henrike Wittfeldt-Steinheim,</w:t>
      </w:r>
    </w:p>
    <w:p>
      <w:pPr>
        <w:jc w:val="left"/>
      </w:pPr>
      <w:r>
        <w:t>wegen Untreue (§ 266 Abs. 1, 2 StGB)</w:t>
      </w:r>
    </w:p>
    <w:p>
      <w:pPr>
        <w:jc w:val="left"/>
      </w:pPr>
      <w:r>
        <w:t>hat die 5. Große Strafkammer des Landgerichts Frankfurt am Main</w:t>
      </w:r>
    </w:p>
    <w:p>
      <w:pPr>
        <w:jc w:val="left"/>
      </w:pPr>
      <w:r>
        <w:t>in der Hauptverhandlung vom 03.03., 10.03., 17.03., 24.03., 07.04., 14.04. und 21.04.2026</w:t>
      </w:r>
    </w:p>
    <w:p>
      <w:pPr>
        <w:jc w:val="left"/>
      </w:pPr>
      <w:r>
        <w:rPr>
          <w:b/>
        </w:rPr>
        <w:t>für Recht erkannt:</w:t>
      </w:r>
    </w:p>
    <w:p/>
    <w:p>
      <w:pPr>
        <w:pStyle w:val="Heading2"/>
      </w:pPr>
      <w:r>
        <w:rPr>
          <w:rFonts w:ascii="Times New Roman" w:hAnsi="Times New Roman"/>
        </w:rPr>
        <w:t>Tenor</w:t>
      </w:r>
    </w:p>
    <w:p>
      <w:pPr>
        <w:jc w:val="left"/>
      </w:pPr>
      <w:r>
        <w:t>Der Angeklagte Konrad Bankert wird wegen Untreue in 110 Fällen (§ 266 Abs. 1 und 2 StGB) zu einer</w:t>
      </w:r>
    </w:p>
    <w:p>
      <w:pPr>
        <w:jc w:val="left"/>
      </w:pPr>
      <w:r>
        <w:rPr>
          <w:b/>
        </w:rPr>
        <w:t>Gesamtfreiheitsstrafe von 3 Jahren und 2 Monaten</w:t>
      </w:r>
    </w:p>
    <w:p>
      <w:pPr>
        <w:jc w:val="left"/>
      </w:pPr>
      <w:r>
        <w:t>verurteilt.</w:t>
      </w:r>
    </w:p>
    <w:p>
      <w:pPr>
        <w:jc w:val="left"/>
      </w:pPr>
      <w:r>
        <w:t>Die Strafaussetzung zur Bewährung wird abgelehnt.</w:t>
      </w:r>
    </w:p>
    <w:p>
      <w:pPr>
        <w:jc w:val="left"/>
      </w:pPr>
      <w:r>
        <w:t>Die Untersuchungshaft seit dem 19.01.2026 wird angerechnet.</w:t>
      </w:r>
    </w:p>
    <w:p>
      <w:pPr>
        <w:jc w:val="left"/>
      </w:pPr>
      <w:r>
        <w:t>Die Kosten des Verfahrens und seine notwendigen Auslagen trägt der Angeklagte.</w:t>
      </w:r>
    </w:p>
    <w:p/>
    <w:p>
      <w:pPr>
        <w:pStyle w:val="Heading2"/>
      </w:pPr>
      <w:r>
        <w:rPr>
          <w:rFonts w:ascii="Times New Roman" w:hAnsi="Times New Roman"/>
        </w:rPr>
        <w:t>Strafzumessung (Entscheidungsgründe Auszug)</w:t>
      </w:r>
    </w:p>
    <w:p>
      <w:pPr>
        <w:pStyle w:val="Heading3"/>
      </w:pPr>
      <w:r>
        <w:rPr>
          <w:rFonts w:ascii="Times New Roman" w:hAnsi="Times New Roman"/>
        </w:rPr>
        <w:t>Strafrahmen</w:t>
      </w:r>
    </w:p>
    <w:p>
      <w:pPr>
        <w:jc w:val="left"/>
      </w:pPr>
      <w:r>
        <w:t>Das Gericht legt den Strafrahmen des § 266 Abs. 2 StGB zugrunde (1 Jahr bis 10 Jahre). Eine Strafrahmenverschiebung nach § 46a StGB i.V.m. § 49 Abs. 1 StGB wird abgelehnt. Die Kammer ist der Auffassung, dass die Wiedergutmachung von 4,2 Mio. EUR bei einem Gesamtschaden von 9 Mio. EUR keinen "erheblichen Teil" i.S.d. § 46a StGB darstellt, da mehr als die Hälfte des Schadens unausgeglichen geblieben ist.</w:t>
      </w:r>
    </w:p>
    <w:p>
      <w:pPr>
        <w:pStyle w:val="Heading3"/>
      </w:pPr>
      <w:r>
        <w:rPr>
          <w:rFonts w:ascii="Times New Roman" w:hAnsi="Times New Roman"/>
        </w:rPr>
        <w:t>Belastende Strafzumessungsgründe</w:t>
      </w:r>
    </w:p>
    <w:p>
      <w:pPr>
        <w:pStyle w:val="ListNumber"/>
      </w:pPr>
      <w:r>
        <w:rPr>
          <w:b/>
        </w:rPr>
        <w:t>Schadenshöhe:</w:t>
      </w:r>
      <w:r>
        <w:t xml:space="preserve"> Der Schaden von 9 Mio. EUR liegt weit über dem Schwellenwert des besonders schweren Falles. Die Kammer sieht darin den schwerwiegendsten Strafzumessungsgesichtspunkt.</w:t>
      </w:r>
    </w:p>
    <w:p>
      <w:pPr>
        <w:pStyle w:val="ListNumber"/>
      </w:pPr>
      <w:r>
        <w:rPr>
          <w:b/>
        </w:rPr>
        <w:t>Tatdauer:</w:t>
      </w:r>
      <w:r>
        <w:t xml:space="preserve"> 110 Einzeltaten über vier Jahre belegen erhebliche kriminelle Energie und planmäßiges Handeln.</w:t>
      </w:r>
    </w:p>
    <w:p>
      <w:pPr>
        <w:pStyle w:val="ListNumber"/>
      </w:pPr>
      <w:r>
        <w:rPr>
          <w:b/>
        </w:rPr>
        <w:t>Verdeckungshandlungen:</w:t>
      </w:r>
      <w:r>
        <w:t xml:space="preserve"> Der Angeklagte hat aktiv die internen Kontrollmechanismen ausgehebelt und Buchungsbelege gefälscht.</w:t>
      </w:r>
    </w:p>
    <w:p>
      <w:pPr>
        <w:pStyle w:val="ListNumber"/>
      </w:pPr>
      <w:r>
        <w:rPr>
          <w:b/>
        </w:rPr>
        <w:t>Vertrauensmissbrauch:</w:t>
      </w:r>
      <w:r>
        <w:t xml:space="preserve"> Die Nutzung eines über 16 Jahre aufgebauten Vertrauensverhältnisses erscheint der Kammer als erheblich erschwerend.</w:t>
      </w:r>
    </w:p>
    <w:p>
      <w:pPr>
        <w:pStyle w:val="Heading3"/>
      </w:pPr>
      <w:r>
        <w:rPr>
          <w:rFonts w:ascii="Times New Roman" w:hAnsi="Times New Roman"/>
        </w:rPr>
        <w:t>Mildernde Strafzumessungsgründe</w:t>
      </w:r>
    </w:p>
    <w:p>
      <w:pPr>
        <w:pStyle w:val="ListNumber"/>
      </w:pPr>
      <w:r>
        <w:t>Geständnis (erheblich mildernd).</w:t>
      </w:r>
    </w:p>
    <w:p>
      <w:pPr>
        <w:pStyle w:val="ListNumber"/>
      </w:pPr>
      <w:r>
        <w:t>Wiedergutmachung 4,2 Mio. EUR (mildernd, aber nicht als § 46a-Fall).</w:t>
      </w:r>
    </w:p>
    <w:p>
      <w:pPr>
        <w:pStyle w:val="ListNumber"/>
      </w:pPr>
      <w:r>
        <w:t>Vorstrafenfreiheit (mildernd).</w:t>
      </w:r>
    </w:p>
    <w:p>
      <w:pPr>
        <w:pStyle w:val="ListNumber"/>
      </w:pPr>
      <w:r>
        <w:t>Persönliche Folgen, insbesondere Erkrankung der Ehefrau (mildernd).</w:t>
      </w:r>
    </w:p>
    <w:p>
      <w:pPr>
        <w:pStyle w:val="ListNumber"/>
      </w:pPr>
      <w:r>
        <w:t>Kein Eigennutz-Konsum (mildernd).</w:t>
      </w:r>
    </w:p>
    <w:p>
      <w:pPr>
        <w:pStyle w:val="Heading3"/>
      </w:pPr>
      <w:r>
        <w:rPr>
          <w:rFonts w:ascii="Times New Roman" w:hAnsi="Times New Roman"/>
        </w:rPr>
        <w:t>Einzelstrafen und Gesamtstrafe</w:t>
      </w:r>
    </w:p>
    <w:p>
      <w:pPr>
        <w:jc w:val="left"/>
      </w:pPr>
      <w:r>
        <w:t>Für die schwerste Einzeltat (Fall 87, 280.000 EUR): 1 Jahr 8 Monate.</w:t>
      </w:r>
    </w:p>
    <w:p>
      <w:pPr>
        <w:jc w:val="left"/>
      </w:pPr>
      <w:r>
        <w:t>Für 109 weitere Einzeltaten: Einzel-Freiheitsstrafen zwischen 6 Monaten und 1 Jahr 4 Monaten.</w:t>
      </w:r>
    </w:p>
    <w:p>
      <w:pPr>
        <w:jc w:val="left"/>
      </w:pPr>
      <w:r>
        <w:t xml:space="preserve">Gesamtstrafe nach § 53 StGB: </w:t>
      </w:r>
      <w:r>
        <w:rPr>
          <w:b/>
        </w:rPr>
        <w:t>3 Jahre 2 Monate</w:t>
      </w:r>
      <w:r>
        <w:t>.</w:t>
      </w:r>
    </w:p>
    <w:p>
      <w:pPr>
        <w:jc w:val="left"/>
      </w:pPr>
      <w:r>
        <w:t>Die Kammer sieht diese Gesamtstrafe "im unteren Drittel des schuldangemessenen Bereichs".</w:t>
      </w:r>
    </w:p>
    <w:p>
      <w:pPr>
        <w:pStyle w:val="Heading3"/>
      </w:pPr>
      <w:r>
        <w:rPr>
          <w:rFonts w:ascii="Times New Roman" w:hAnsi="Times New Roman"/>
        </w:rPr>
        <w:t>Bewährungsversagung</w:t>
      </w:r>
    </w:p>
    <w:p>
      <w:pPr>
        <w:jc w:val="left"/>
      </w:pPr>
      <w:r>
        <w:t>Eine Strafaussetzung nach § 56 StGB scheidet aus. Bei einer Gesamtstrafe von 3 J 2 M sind die Voraussetzungen des § 56 Abs. 2 StGB (bis 2 Jahre) nicht einschlägig. Selbst besondere Umstände i.S.d. § 56 Abs. 2 StGB könnten nur bei einer Strafe bis zu 2 Jahren Bewährung rechtfertigen. § 56 Abs. 3 StGB: Die Verteidigung der Rechtsordnung gebietet vorliegend die Vollstreckung; ein Schaden von 9 Mio. EUR und ein verbleibender Restschaden von 4,8 Mio. EUR erlauben keine Bewährung ohne Signalfunktionsverlust.</w:t>
      </w:r>
    </w:p>
    <w:p/>
    <w:p>
      <w:pPr>
        <w:pStyle w:val="Heading2"/>
      </w:pPr>
      <w:r>
        <w:rPr>
          <w:rFonts w:ascii="Times New Roman" w:hAnsi="Times New Roman"/>
        </w:rPr>
        <w:t>Rechtsmittelbelehrung</w:t>
      </w:r>
    </w:p>
    <w:p>
      <w:pPr>
        <w:jc w:val="left"/>
      </w:pPr>
      <w:r>
        <w:t>Gegen dieses Urteil kann binnen einer Woche nach Urteilsverkündung beim Landgericht Frankfurt am Main Revision eingelegt werden. Revisionsgründe sind schriftlich innerhalb eines Monats nach Zustellung des schriftlichen Urteils zu begründen.</w:t>
      </w:r>
    </w:p>
    <w:p/>
    <w:p>
      <w:pPr>
        <w:jc w:val="left"/>
      </w:pPr>
      <w:r>
        <w:rPr>
          <w:b/>
        </w:rPr>
        <w:t>Dr. Ute Brendel</w:t>
      </w:r>
      <w:r>
        <w:t xml:space="preserve"> — Vorsitzende Richterin am Landgericht</w:t>
      </w:r>
    </w:p>
    <w:p>
      <w:pPr>
        <w:jc w:val="left"/>
      </w:pPr>
      <w:r>
        <w:rPr>
          <w:b/>
        </w:rPr>
        <w:t>Frankfurt am Main, 21. April 2026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§ 266 StGB: https://dejure.org/gesetze/StGB/266.html</w:t>
      </w:r>
    </w:p>
    <w:p>
      <w:pPr>
        <w:pStyle w:val="ListBullet"/>
      </w:pPr>
      <w:r>
        <w:t>§ 56 StGB: https://dejure.org/gesetze/StGB/56.html</w:t>
      </w:r>
    </w:p>
    <w:p>
      <w:pPr>
        <w:pStyle w:val="ListBullet"/>
      </w:pPr>
      <w:r>
        <w:t>§ 337 StPO: https://dejure.org/gesetze/StPO/337.html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