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Abschlussvermerk — Kanzlei Wittfeldt-Steinheim</w:t>
      </w:r>
    </w:p>
    <w:p>
      <w:pPr>
        <w:jc w:val="left"/>
      </w:pPr>
      <w:r>
        <w:rPr>
          <w:b/>
        </w:rPr>
        <w:t>Kanzleiaktenzeichen:</w:t>
      </w:r>
      <w:r>
        <w:t xml:space="preserve"> WS-2026-STR-0414</w:t>
      </w:r>
    </w:p>
    <w:p>
      <w:pPr>
        <w:jc w:val="left"/>
      </w:pPr>
      <w:r>
        <w:rPr>
          <w:b/>
        </w:rPr>
        <w:t>Datum:</w:t>
      </w:r>
      <w:r>
        <w:t xml:space="preserve"> 01. Juni 2026</w:t>
      </w:r>
    </w:p>
    <w:p>
      <w:pPr>
        <w:jc w:val="left"/>
      </w:pPr>
      <w:r>
        <w:rPr>
          <w:b/>
        </w:rPr>
        <w:t>Verfasst von:</w:t>
      </w:r>
      <w:r>
        <w:t xml:space="preserve"> Prof. Dr. H. Wittfeldt-Steinheim</w:t>
      </w:r>
    </w:p>
    <w:p/>
    <w:p>
      <w:pPr>
        <w:pStyle w:val="Heading2"/>
      </w:pPr>
      <w:r>
        <w:rPr>
          <w:rFonts w:ascii="Times New Roman" w:hAnsi="Times New Roman"/>
        </w:rPr>
        <w:t>Mandatsübersicht</w:t>
      </w:r>
    </w:p>
    <w:p>
      <w:pPr>
        <w:jc w:val="left"/>
      </w:pPr>
      <w:r>
        <w:rPr>
          <w:b/>
        </w:rPr>
        <w:t>Mandant:</w:t>
      </w:r>
      <w:r>
        <w:t xml:space="preserve"> Konrad Bankert, geb. 17.09.1971</w:t>
      </w:r>
    </w:p>
    <w:p>
      <w:pPr>
        <w:jc w:val="left"/>
      </w:pPr>
      <w:r>
        <w:rPr>
          <w:b/>
        </w:rPr>
        <w:t>Verfahren:</w:t>
      </w:r>
      <w:r>
        <w:t xml:space="preserve"> LG Frankfurt 5-22 KLs 188/26 (Hauptverfahren) + BGH 5 StR 2188/26 (Revision)</w:t>
      </w:r>
    </w:p>
    <w:p>
      <w:pPr>
        <w:jc w:val="left"/>
      </w:pPr>
      <w:r>
        <w:rPr>
          <w:b/>
        </w:rPr>
        <w:t>Mandatsdauer:</w:t>
      </w:r>
      <w:r>
        <w:t xml:space="preserve"> 04.02.2026 – laufend (Revision BGH ausstehend)</w:t>
      </w:r>
    </w:p>
    <w:p>
      <w:pPr>
        <w:jc w:val="left"/>
      </w:pPr>
      <w:r>
        <w:rPr>
          <w:b/>
        </w:rPr>
        <w:t>Mandatsgegenstand:</w:t>
      </w:r>
      <w:r>
        <w:t xml:space="preserve"> Verteidigung in Strafsache § 266 StGB, Schwerpunkt Strafzumessung</w:t>
      </w:r>
    </w:p>
    <w:p/>
    <w:p>
      <w:pPr>
        <w:pStyle w:val="Heading2"/>
      </w:pPr>
      <w:r>
        <w:rPr>
          <w:rFonts w:ascii="Times New Roman" w:hAnsi="Times New Roman"/>
        </w:rPr>
        <w:t>Verfahrenschronik</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04.02.2026</w:t>
            </w:r>
          </w:p>
        </w:tc>
        <w:tc>
          <w:tcPr>
            <w:tcW w:type="dxa" w:w="4536"/>
          </w:tcPr>
          <w:p>
            <w:r>
              <w:rPr>
                <w:rFonts w:ascii="Times New Roman" w:hAnsi="Times New Roman"/>
                <w:sz w:val="20"/>
              </w:rPr>
              <w:t>Erstgespräch und Mandatserteilung, JVA Frankfurt I</w:t>
            </w:r>
          </w:p>
        </w:tc>
      </w:tr>
      <w:tr>
        <w:tc>
          <w:tcPr>
            <w:tcW w:type="dxa" w:w="4536"/>
          </w:tcPr>
          <w:p>
            <w:r>
              <w:rPr>
                <w:rFonts w:ascii="Times New Roman" w:hAnsi="Times New Roman"/>
                <w:sz w:val="20"/>
              </w:rPr>
              <w:t>05.02.2026</w:t>
            </w:r>
          </w:p>
        </w:tc>
        <w:tc>
          <w:tcPr>
            <w:tcW w:type="dxa" w:w="4536"/>
          </w:tcPr>
          <w:p>
            <w:r>
              <w:rPr>
                <w:rFonts w:ascii="Times New Roman" w:hAnsi="Times New Roman"/>
                <w:sz w:val="20"/>
              </w:rPr>
              <w:t>Akteneinsicht beantragt</w:t>
            </w:r>
          </w:p>
        </w:tc>
      </w:tr>
      <w:tr>
        <w:tc>
          <w:tcPr>
            <w:tcW w:type="dxa" w:w="4536"/>
          </w:tcPr>
          <w:p>
            <w:r>
              <w:rPr>
                <w:rFonts w:ascii="Times New Roman" w:hAnsi="Times New Roman"/>
                <w:sz w:val="20"/>
              </w:rPr>
              <w:t>14.02.2026</w:t>
            </w:r>
          </w:p>
        </w:tc>
        <w:tc>
          <w:tcPr>
            <w:tcW w:type="dxa" w:w="4536"/>
          </w:tcPr>
          <w:p>
            <w:r>
              <w:rPr>
                <w:rFonts w:ascii="Times New Roman" w:hAnsi="Times New Roman"/>
                <w:sz w:val="20"/>
              </w:rPr>
              <w:t>Akteneinsicht erteilt (462 Seiten)</w:t>
            </w:r>
          </w:p>
        </w:tc>
      </w:tr>
      <w:tr>
        <w:tc>
          <w:tcPr>
            <w:tcW w:type="dxa" w:w="4536"/>
          </w:tcPr>
          <w:p>
            <w:r>
              <w:rPr>
                <w:rFonts w:ascii="Times New Roman" w:hAnsi="Times New Roman"/>
                <w:sz w:val="20"/>
              </w:rPr>
              <w:t>04.03.2026</w:t>
            </w:r>
          </w:p>
        </w:tc>
        <w:tc>
          <w:tcPr>
            <w:tcW w:type="dxa" w:w="4536"/>
          </w:tcPr>
          <w:p>
            <w:r>
              <w:rPr>
                <w:rFonts w:ascii="Times New Roman" w:hAnsi="Times New Roman"/>
                <w:sz w:val="20"/>
              </w:rPr>
              <w:t>Rechtsgespräch mit OStA Dr. Holtkamp (ohne Einigung)</w:t>
            </w:r>
          </w:p>
        </w:tc>
      </w:tr>
      <w:tr>
        <w:tc>
          <w:tcPr>
            <w:tcW w:type="dxa" w:w="4536"/>
          </w:tcPr>
          <w:p>
            <w:r>
              <w:rPr>
                <w:rFonts w:ascii="Times New Roman" w:hAnsi="Times New Roman"/>
                <w:sz w:val="20"/>
              </w:rPr>
              <w:t>10.03.2026</w:t>
            </w:r>
          </w:p>
        </w:tc>
        <w:tc>
          <w:tcPr>
            <w:tcW w:type="dxa" w:w="4536"/>
          </w:tcPr>
          <w:p>
            <w:r>
              <w:rPr>
                <w:rFonts w:ascii="Times New Roman" w:hAnsi="Times New Roman"/>
                <w:sz w:val="20"/>
              </w:rPr>
              <w:t>Hauptverhandlung 2: Einlassung Bankert (Geständnis)</w:t>
            </w:r>
          </w:p>
        </w:tc>
      </w:tr>
      <w:tr>
        <w:tc>
          <w:tcPr>
            <w:tcW w:type="dxa" w:w="4536"/>
          </w:tcPr>
          <w:p>
            <w:r>
              <w:rPr>
                <w:rFonts w:ascii="Times New Roman" w:hAnsi="Times New Roman"/>
                <w:sz w:val="20"/>
              </w:rPr>
              <w:t>17.03.2026</w:t>
            </w:r>
          </w:p>
        </w:tc>
        <w:tc>
          <w:tcPr>
            <w:tcW w:type="dxa" w:w="4536"/>
          </w:tcPr>
          <w:p>
            <w:r>
              <w:rPr>
                <w:rFonts w:ascii="Times New Roman" w:hAnsi="Times New Roman"/>
                <w:sz w:val="20"/>
              </w:rPr>
              <w:t>Hauptverhandlung 3: Zeuge GF Schmitt</w:t>
            </w:r>
          </w:p>
        </w:tc>
      </w:tr>
      <w:tr>
        <w:tc>
          <w:tcPr>
            <w:tcW w:type="dxa" w:w="4536"/>
          </w:tcPr>
          <w:p>
            <w:r>
              <w:rPr>
                <w:rFonts w:ascii="Times New Roman" w:hAnsi="Times New Roman"/>
                <w:sz w:val="20"/>
              </w:rPr>
              <w:t>24.03.2026</w:t>
            </w:r>
          </w:p>
        </w:tc>
        <w:tc>
          <w:tcPr>
            <w:tcW w:type="dxa" w:w="4536"/>
          </w:tcPr>
          <w:p>
            <w:r>
              <w:rPr>
                <w:rFonts w:ascii="Times New Roman" w:hAnsi="Times New Roman"/>
                <w:sz w:val="20"/>
              </w:rPr>
              <w:t>Hauptverhandlung 4: Zeuge WP Fecht</w:t>
            </w:r>
          </w:p>
        </w:tc>
      </w:tr>
      <w:tr>
        <w:tc>
          <w:tcPr>
            <w:tcW w:type="dxa" w:w="4536"/>
          </w:tcPr>
          <w:p>
            <w:r>
              <w:rPr>
                <w:rFonts w:ascii="Times New Roman" w:hAnsi="Times New Roman"/>
                <w:sz w:val="20"/>
              </w:rPr>
              <w:t>07.04.2026</w:t>
            </w:r>
          </w:p>
        </w:tc>
        <w:tc>
          <w:tcPr>
            <w:tcW w:type="dxa" w:w="4536"/>
          </w:tcPr>
          <w:p>
            <w:r>
              <w:rPr>
                <w:rFonts w:ascii="Times New Roman" w:hAnsi="Times New Roman"/>
                <w:sz w:val="20"/>
              </w:rPr>
              <w:t>Hauptverhandlung 5: Sachverständige Dr. Haesler</w:t>
            </w:r>
          </w:p>
        </w:tc>
      </w:tr>
      <w:tr>
        <w:tc>
          <w:tcPr>
            <w:tcW w:type="dxa" w:w="4536"/>
          </w:tcPr>
          <w:p>
            <w:r>
              <w:rPr>
                <w:rFonts w:ascii="Times New Roman" w:hAnsi="Times New Roman"/>
                <w:sz w:val="20"/>
              </w:rPr>
              <w:t>14.04.2026</w:t>
            </w:r>
          </w:p>
        </w:tc>
        <w:tc>
          <w:tcPr>
            <w:tcW w:type="dxa" w:w="4536"/>
          </w:tcPr>
          <w:p>
            <w:r>
              <w:rPr>
                <w:rFonts w:ascii="Times New Roman" w:hAnsi="Times New Roman"/>
                <w:sz w:val="20"/>
              </w:rPr>
              <w:t>Hauptverhandlung 6: Beweisaufnahme abgeschlossen</w:t>
            </w:r>
          </w:p>
        </w:tc>
      </w:tr>
      <w:tr>
        <w:tc>
          <w:tcPr>
            <w:tcW w:type="dxa" w:w="4536"/>
          </w:tcPr>
          <w:p>
            <w:r>
              <w:rPr>
                <w:rFonts w:ascii="Times New Roman" w:hAnsi="Times New Roman"/>
                <w:sz w:val="20"/>
              </w:rPr>
              <w:t>21.04.2026</w:t>
            </w:r>
          </w:p>
        </w:tc>
        <w:tc>
          <w:tcPr>
            <w:tcW w:type="dxa" w:w="4536"/>
          </w:tcPr>
          <w:p>
            <w:r>
              <w:rPr>
                <w:rFonts w:ascii="Times New Roman" w:hAnsi="Times New Roman"/>
                <w:sz w:val="20"/>
              </w:rPr>
              <w:t>Hauptverhandlung 7: Plädoyers und Urteil</w:t>
            </w:r>
          </w:p>
        </w:tc>
      </w:tr>
      <w:tr>
        <w:tc>
          <w:tcPr>
            <w:tcW w:type="dxa" w:w="4536"/>
          </w:tcPr>
          <w:p>
            <w:r>
              <w:rPr>
                <w:rFonts w:ascii="Times New Roman" w:hAnsi="Times New Roman"/>
                <w:sz w:val="20"/>
              </w:rPr>
              <w:t>28.04.2026</w:t>
            </w:r>
          </w:p>
        </w:tc>
        <w:tc>
          <w:tcPr>
            <w:tcW w:type="dxa" w:w="4536"/>
          </w:tcPr>
          <w:p>
            <w:r>
              <w:rPr>
                <w:rFonts w:ascii="Times New Roman" w:hAnsi="Times New Roman"/>
                <w:sz w:val="20"/>
              </w:rPr>
              <w:t>Revisionseinlegung (fristgerecht)</w:t>
            </w:r>
          </w:p>
        </w:tc>
      </w:tr>
      <w:tr>
        <w:tc>
          <w:tcPr>
            <w:tcW w:type="dxa" w:w="4536"/>
          </w:tcPr>
          <w:p>
            <w:r>
              <w:rPr>
                <w:rFonts w:ascii="Times New Roman" w:hAnsi="Times New Roman"/>
                <w:sz w:val="20"/>
              </w:rPr>
              <w:t>26.05.2026</w:t>
            </w:r>
          </w:p>
        </w:tc>
        <w:tc>
          <w:tcPr>
            <w:tcW w:type="dxa" w:w="4536"/>
          </w:tcPr>
          <w:p>
            <w:r>
              <w:rPr>
                <w:rFonts w:ascii="Times New Roman" w:hAnsi="Times New Roman"/>
                <w:sz w:val="20"/>
              </w:rPr>
              <w:t>Revisionsbegründungsschrift eingereicht</w:t>
            </w:r>
          </w:p>
        </w:tc>
      </w:tr>
    </w:tbl>
    <w:p/>
    <w:p>
      <w:pPr>
        <w:pStyle w:val="Heading2"/>
      </w:pPr>
      <w:r>
        <w:rPr>
          <w:rFonts w:ascii="Times New Roman" w:hAnsi="Times New Roman"/>
        </w:rPr>
        <w:t>Ergebnis 1. Instanz</w:t>
      </w:r>
    </w:p>
    <w:p>
      <w:pPr>
        <w:jc w:val="left"/>
      </w:pPr>
      <w:r>
        <w:t>Urteil LG Frankfurt 5-22 KLs 188/26, 21.04.2026:</w:t>
      </w:r>
    </w:p>
    <w:p>
      <w:pPr>
        <w:jc w:val="left"/>
      </w:pPr>
      <w:r>
        <w:rPr>
          <w:b/>
        </w:rPr>
        <w:t>3 Jahre 2 Monate Freiheitsstrafe, keine Bewährung.</w:t>
      </w:r>
    </w:p>
    <w:p>
      <w:pPr>
        <w:jc w:val="left"/>
      </w:pPr>
      <w:r>
        <w:t>Abweichung vom Verteidigungsantrag (2 J 6 M auf Bewährung): erheblich. Das LG hat insbesondere die § 46a-Milderung und die Bewährungsaussetzung verweigert, ohne die Rechtsprechung des BGH zur Erheblichkeitsschwelle bei der Wiedergutmachung zu beachten.</w:t>
      </w:r>
    </w:p>
    <w:p/>
    <w:p>
      <w:pPr>
        <w:pStyle w:val="Heading2"/>
      </w:pPr>
      <w:r>
        <w:rPr>
          <w:rFonts w:ascii="Times New Roman" w:hAnsi="Times New Roman"/>
        </w:rPr>
        <w:t>Revision BGH — Aussichten</w:t>
      </w:r>
    </w:p>
    <w:p>
      <w:pPr>
        <w:jc w:val="left"/>
      </w:pPr>
      <w:r>
        <w:t>Die Revisionsbegründungsschrift stützt sich auf drei Rügen (Aktenstück 21):</w:t>
      </w:r>
    </w:p>
    <w:p>
      <w:pPr>
        <w:pStyle w:val="ListNumber"/>
      </w:pPr>
      <w:r>
        <w:t>Fehlerhafte Ablehnung § 46a StGB (starres 50-%-Kriterium ohne Rechtsgrundlage).</w:t>
      </w:r>
    </w:p>
    <w:p>
      <w:pPr>
        <w:pStyle w:val="ListNumber"/>
      </w:pPr>
      <w:r>
        <w:t>Unzureichende Begründung der Spielraum-Bestimmung (§ 267 Abs. 3 StPO).</w:t>
      </w:r>
    </w:p>
    <w:p>
      <w:pPr>
        <w:pStyle w:val="ListNumber"/>
      </w:pPr>
      <w:r>
        <w:t>Fehlerhafte Bewährungsversagung (§ 56 Abs. 3 StGB nicht ausreichend geprüft).</w:t>
      </w:r>
    </w:p>
    <w:p>
      <w:pPr>
        <w:jc w:val="left"/>
      </w:pPr>
      <w:r>
        <w:rPr>
          <w:b/>
        </w:rPr>
        <w:t>Aussichten:</w:t>
      </w:r>
      <w:r>
        <w:t xml:space="preserve"> Die Revisionschancen werden auf 60–70 % eingeschätzt. Insbesondere Rüge 1 (§ 46a StGB) hat nach der jüngsten BGH-Rechtsprechung (BGH 1 StR 112/20) gute Erfolgsaussichten. Bei Erfolg: Aufhebung Strafausspruch, Zurückverweisung an andere Kammer LG Frankfurt.</w:t>
      </w:r>
    </w:p>
    <w:p/>
    <w:p>
      <w:pPr>
        <w:pStyle w:val="Heading2"/>
      </w:pPr>
      <w:r>
        <w:rPr>
          <w:rFonts w:ascii="Times New Roman" w:hAnsi="Times New Roman"/>
        </w:rPr>
        <w:t>Kosten (vorläufig, Stand 01.06.2026)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Pflichtverteidigergebühren (§ 49 RVG)</w:t>
            </w:r>
          </w:p>
        </w:tc>
        <w:tc>
          <w:tcPr>
            <w:tcW w:type="dxa" w:w="4536"/>
          </w:tcPr>
          <w:p>
            <w:r>
              <w:rPr>
                <w:rFonts w:ascii="Times New Roman" w:hAnsi="Times New Roman"/>
                <w:sz w:val="20"/>
              </w:rPr>
              <w:t>pauschal (staatliche Pflichtverteidigung)</w:t>
            </w:r>
          </w:p>
        </w:tc>
      </w:tr>
      <w:tr>
        <w:tc>
          <w:tcPr>
            <w:tcW w:type="dxa" w:w="4536"/>
          </w:tcPr>
          <w:p>
            <w:r>
              <w:rPr>
                <w:rFonts w:ascii="Times New Roman" w:hAnsi="Times New Roman"/>
                <w:sz w:val="20"/>
              </w:rPr>
              <w:t>Eigenanteil Mandant (Wahlverteidigung)</w:t>
            </w:r>
          </w:p>
        </w:tc>
        <w:tc>
          <w:tcPr>
            <w:tcW w:type="dxa" w:w="4536"/>
          </w:tcPr>
          <w:p>
            <w:r>
              <w:rPr>
                <w:rFonts w:ascii="Times New Roman" w:hAnsi="Times New Roman"/>
                <w:sz w:val="20"/>
              </w:rPr>
              <w:t>48.000 EUR (bereits entrichtet)</w:t>
            </w:r>
          </w:p>
        </w:tc>
      </w:tr>
      <w:tr>
        <w:tc>
          <w:tcPr>
            <w:tcW w:type="dxa" w:w="4536"/>
          </w:tcPr>
          <w:p>
            <w:r>
              <w:rPr>
                <w:rFonts w:ascii="Times New Roman" w:hAnsi="Times New Roman"/>
                <w:sz w:val="20"/>
              </w:rPr>
              <w:t>BGH-Revision (Mehrvergütung)</w:t>
            </w:r>
          </w:p>
        </w:tc>
        <w:tc>
          <w:tcPr>
            <w:tcW w:type="dxa" w:w="4536"/>
          </w:tcPr>
          <w:p>
            <w:r>
              <w:rPr>
                <w:rFonts w:ascii="Times New Roman" w:hAnsi="Times New Roman"/>
                <w:sz w:val="20"/>
              </w:rPr>
              <w:t>12.000 EUR (vereinbart)</w:t>
            </w:r>
          </w:p>
        </w:tc>
      </w:tr>
      <w:tr>
        <w:tc>
          <w:tcPr>
            <w:tcW w:type="dxa" w:w="4536"/>
          </w:tcPr>
          <w:p>
            <w:r>
              <w:rPr>
                <w:rFonts w:ascii="Times New Roman" w:hAnsi="Times New Roman"/>
                <w:sz w:val="20"/>
              </w:rPr>
              <w:t>Sachverständigenkosten Dr. Haesler</w:t>
            </w:r>
          </w:p>
        </w:tc>
        <w:tc>
          <w:tcPr>
            <w:tcW w:type="dxa" w:w="4536"/>
          </w:tcPr>
          <w:p>
            <w:r>
              <w:rPr>
                <w:rFonts w:ascii="Times New Roman" w:hAnsi="Times New Roman"/>
                <w:sz w:val="20"/>
              </w:rPr>
              <w:t>3.200 EUR</w:t>
            </w:r>
          </w:p>
        </w:tc>
      </w:tr>
      <w:tr>
        <w:tc>
          <w:tcPr>
            <w:tcW w:type="dxa" w:w="4536"/>
          </w:tcPr>
          <w:p>
            <w:r>
              <w:rPr>
                <w:rFonts w:ascii="Times New Roman" w:hAnsi="Times New Roman"/>
                <w:sz w:val="20"/>
              </w:rPr>
              <w:t>Aktenkosten, Kopien, Porto</w:t>
            </w:r>
          </w:p>
        </w:tc>
        <w:tc>
          <w:tcPr>
            <w:tcW w:type="dxa" w:w="4536"/>
          </w:tcPr>
          <w:p>
            <w:r>
              <w:rPr>
                <w:rFonts w:ascii="Times New Roman" w:hAnsi="Times New Roman"/>
                <w:sz w:val="20"/>
              </w:rPr>
              <w:t>680 EUR</w:t>
            </w:r>
          </w:p>
        </w:tc>
      </w:tr>
      <w:tr>
        <w:tc>
          <w:tcPr>
            <w:tcW w:type="dxa" w:w="4536"/>
          </w:tcPr>
          <w:p>
            <w:r>
              <w:rPr>
                <w:rFonts w:ascii="Times New Roman" w:hAnsi="Times New Roman"/>
                <w:b/>
                <w:sz w:val="20"/>
              </w:rPr>
              <w:t>Gesamtkosten Mandant</w:t>
            </w:r>
          </w:p>
        </w:tc>
        <w:tc>
          <w:tcPr>
            <w:tcW w:type="dxa" w:w="4536"/>
          </w:tcPr>
          <w:p>
            <w:r>
              <w:rPr>
                <w:rFonts w:ascii="Times New Roman" w:hAnsi="Times New Roman"/>
                <w:b/>
                <w:sz w:val="20"/>
              </w:rPr>
              <w:t>63.880 EUR</w:t>
            </w:r>
          </w:p>
        </w:tc>
      </w:tr>
    </w:tbl>
    <w:p/>
    <w:p>
      <w:pPr>
        <w:pStyle w:val="Heading2"/>
      </w:pPr>
      <w:r>
        <w:rPr>
          <w:rFonts w:ascii="Times New Roman" w:hAnsi="Times New Roman"/>
        </w:rPr>
        <w:t>Persönlicher Vermerk</w:t>
      </w:r>
    </w:p>
    <w:p>
      <w:pPr>
        <w:jc w:val="left"/>
      </w:pPr>
      <w:r>
        <w:t>Konrad Bankert ist ein Mandant, der trotz einer schweren Situation Würde bewahrt hat. Sein vollständiges Geständnis noch vor den Ermittlungen und seine maximal mögliche Wiedergutmachung verdienen strafrechtliche Anerkennung. Das LG Frankfurt hat diese Umstände nicht hinreichend gewürdigt. Die Revision vor dem BGH ist nicht nur rechtlich geboten — sie ist gerecht.</w:t>
      </w:r>
    </w:p>
    <w:p>
      <w:pPr>
        <w:jc w:val="left"/>
      </w:pPr>
      <w:r>
        <w:t>Sandra Bankert ist nach letzter Information (31.05.2026) auf der Transplantationswarteliste auf Dringlichkeitsstufe T-HU hochgestuft worden. Die Situation der Familie ist weiterhin außergewöhnlich belastet.</w:t>
      </w:r>
    </w:p>
    <w:p>
      <w:pPr>
        <w:jc w:val="left"/>
      </w:pPr>
      <w:r>
        <w:t>Nächster Schritt: Erwiderung der Stellungnahme des Generalbundesanwalts (sobald eingegangen, voraussichtlich September 2026).</w:t>
      </w:r>
    </w:p>
    <w:p/>
    <w:p>
      <w:pPr>
        <w:jc w:val="left"/>
      </w:pPr>
      <w:r>
        <w:rPr>
          <w:b/>
        </w:rPr>
        <w:t>Prof. Dr. Henrike Wittfeldt-Steinheim</w:t>
      </w:r>
    </w:p>
    <w:p>
      <w:pPr>
        <w:jc w:val="left"/>
      </w:pPr>
      <w:r>
        <w:t>Wittfeldt-Steinheim Strafverteidigung</w:t>
      </w:r>
    </w:p>
    <w:p>
      <w:pPr>
        <w:jc w:val="left"/>
      </w:pPr>
      <w:r>
        <w:t>Bockenheimer Anlage 18, 60322 Frankfurt am Main</w:t>
      </w:r>
    </w:p>
    <w:p>
      <w:pPr>
        <w:jc w:val="left"/>
      </w:pPr>
      <w:r>
        <w:t>Frankfurt am Main, 01. Juni 2026</w:t>
      </w:r>
    </w:p>
    <w:p>
      <w:pPr>
        <w:jc w:val="left"/>
      </w:pPr>
      <w:r>
        <w:rPr>
          <w:b/>
        </w:rPr>
        <w:t>Quellen:</w:t>
      </w:r>
    </w:p>
    <w:p>
      <w:pPr>
        <w:pStyle w:val="ListBullet"/>
      </w:pPr>
      <w:r>
        <w:t>§ 46a StGB: https://dejure.org/gesetze/StGB/46a.html</w:t>
      </w:r>
    </w:p>
    <w:p>
      <w:pPr>
        <w:pStyle w:val="ListBullet"/>
      </w:pPr>
      <w:r>
        <w:t>§ 56 StGB: https://dejure.org/gesetze/StGB/56.html</w:t>
      </w:r>
    </w:p>
    <w:p>
      <w:pPr>
        <w:pStyle w:val="ListBullet"/>
      </w:pPr>
      <w:r>
        <w:t>§ 337 StPO: https://dejure.org/gesetze/StPO/337.html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