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Straßenrecht Ortsdurchfahrt Auenfeld soll nicht nur ein Schlagwort geprüft werden. Zu klären ist, welche Anspruchs-, Befugnis-, Verfahrens- und Nachweisfragen aus FStrG, Landesstraßengesetz, VwVfG, Planfeststellung, Widmung, Sondernutzung, Verkehrssicherung und Kostenteilung bei Ortsdurchfahrten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marode Brücke, Ortsdurchfahrt, Umleitung, Anliegerzufahrten, Radweg, Schwerlastverkehr und Streit über Baulast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FStrG, Landesstraßengesetz, VwVfG, Planfeststellung, Widmung, Sondernutzung, Verkehrssicherung und Kostenteilung bei Ortsdurchfahrten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