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Straßenrecht Ortsdurchfahrt Auenfeld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FStrG, Landesstraßengesetz, VwVfG, Planfeststellung, Widmung, Sondernutzung, Verkehrssicherung und Kostenteilung bei Ortsdurchfahrten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