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einer Stellungnahme</w:t>
      </w:r>
    </w:p>
    <w:p>
      <w:pPr>
        <w:pStyle w:val="Heading2"/>
      </w:pPr>
      <w:r>
        <w:rPr>
          <w:rFonts w:ascii="Times New Roman" w:hAnsi="Times New Roman"/>
        </w:rPr>
        <w:t>Beteiligte</w:t>
      </w:r>
    </w:p>
    <w:p>
      <w:pPr>
        <w:jc w:val="left"/>
      </w:pPr>
      <w:r>
        <w:t>Stadt Morgenfurt, Schulleitung, Lieferdienst, Elternrat, Anwohnerin, Polizei und Verwaltungsgericht.</w:t>
      </w:r>
    </w:p>
    <w:p>
      <w:pPr>
        <w:pStyle w:val="Heading2"/>
      </w:pPr>
      <w:r>
        <w:rPr>
          <w:rFonts w:ascii="Times New Roman" w:hAnsi="Times New Roman"/>
        </w:rPr>
        <w:t>Ausgeschriebener Aktenstand</w:t>
      </w:r>
    </w:p>
    <w:p>
      <w:pPr>
        <w:jc w:val="left"/>
      </w:pPr>
      <w:r>
        <w:t>Eine temporäre Schulstraße kollidiert mit Lieferverkehr, Halteverbotszonen, Sondernutzungen und Bußgeldern.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StVO, StVG, VwV-StVO, Straßenrecht, Anordnung von Verkehrszeichen, Abschleppen, Eilrechtsschutz.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