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Fall 14: Radarwarner, Werkstattvertrag und Eigentumserwerb</w:t>
      </w:r>
    </w:p>
    <w:p>
      <w:pPr>
        <w:jc w:val="left"/>
      </w:pPr>
      <w:r>
        <w:rPr>
          <w:b/>
        </w:rPr>
        <w:t>Übung für Fortgeschrittene — SS 2026</w:t>
      </w:r>
    </w:p>
    <w:p>
      <w:pPr>
        <w:jc w:val="left"/>
      </w:pPr>
      <w:r>
        <w:rPr>
          <w:b/>
        </w:rPr>
        <w:t>Lehrstuhl Prof. Dr. Eve Pohlmann-Wittfeldt, Bürgerliches Recht, Universität Bielefeld</w:t>
      </w:r>
    </w:p>
    <w:p>
      <w:pPr>
        <w:jc w:val="left"/>
      </w:pPr>
      <w:r>
        <w:rPr>
          <w:b/>
        </w:rPr>
        <w:t>Az.: Lehrstuhl Pohlmann ÜBG-SS2026-Fall-14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Kraftfahrzeugmechaniker K betreibt eine Werkstatt in Bielefeld-Brackwede. Kunde G bringt sein Fahrzeug (Baujahr 2019, Wert ca. 18.000 EUR) am 3. März 2026 in die Werkstatt. Er beauftragt K mündlich mit dem Einbau eines Radarwarngeräts (Typ „SpeedShield Pro") sowie einer Inspektion des Getriebes. Der Einbau des Radarwarngeräts soll 420 EUR kosten, die Inspektion 180 EUR. K kauft das Gerät bei Händler H für 210 EUR und baut es ein.</w:t>
      </w:r>
    </w:p>
    <w:p>
      <w:pPr>
        <w:jc w:val="left"/>
      </w:pPr>
      <w:r>
        <w:t>Nach Abholung des Fahrzeugs am 8. März 2026 weigert sich G, den Werklohn für das Radarwarngerät (420 EUR) zu zahlen. G beruft sich darauf, dass der Einbau eines Radarwarngeräts nach § 23 StVO verboten und der Werkvertrag daher nichtig sei. Die Inspektionskosten (180 EUR) bezahlt G anstandslos.</w:t>
      </w:r>
    </w:p>
    <w:p>
      <w:pPr>
        <w:jc w:val="left"/>
      </w:pPr>
      <w:r>
        <w:t>K hingegen meint, er habe jedenfalls nach § 812 BGB einen Bereicherungsanspruch auf Ersatz seiner Aufwendungen (Materialkosten 210 EUR zzgl. Arbeitszeit 2 Stunden à 85 EUR = 170 EUR, insgesamt 380 EUR). Hilfsweise macht er geltend, das eingebaute Gerät sei nun Fahrzeugbestandteil und er habe daher seine Eigentumsposition verloren; zumindest sei ein Anspruch aus § 951 BGB gegeben.</w:t>
      </w:r>
    </w:p>
    <w:p>
      <w:pPr>
        <w:jc w:val="left"/>
      </w:pPr>
      <w:r>
        <w:t>G erklärt vorsorglich gegenüber K die Aufrechnung mit einem eigenen Schadensersatzanspruch in Höhe von 150 EUR wegen eines Kratzers, den ein Werkstattmitarbeiter beim Rangieren am Kotflügel verursacht hat. Dieser Kratzerschaden ist unstreitig.</w:t>
      </w:r>
    </w:p>
    <w:p/>
    <w:p>
      <w:pPr>
        <w:pStyle w:val="Heading2"/>
      </w:pPr>
      <w:r>
        <w:rPr>
          <w:rFonts w:ascii="Times New Roman" w:hAnsi="Times New Roman"/>
        </w:rPr>
        <w:t>Fragen</w:t>
      </w:r>
    </w:p>
    <w:p>
      <w:pPr>
        <w:jc w:val="left"/>
      </w:pPr>
      <w:r>
        <w:rPr>
          <w:b/>
        </w:rPr>
        <w:t>Frage 1:</w:t>
      </w:r>
      <w:r>
        <w:t xml:space="preserve"> Hat K gegen G einen Anspruch auf Zahlung des Werklohns für den Einbau des Radarwarngeräts (420 EUR) aus § 631 BGB?</w:t>
      </w:r>
    </w:p>
    <w:p>
      <w:pPr>
        <w:jc w:val="left"/>
      </w:pPr>
      <w:r>
        <w:rPr>
          <w:b/>
        </w:rPr>
        <w:t>Frage 2:</w:t>
      </w:r>
      <w:r>
        <w:t xml:space="preserve"> Hat K gegen G hilfsweise einen Bereicherungsanspruch gemäß §§ 812 ff. BGB? Prüfen Sie insbesondere, ob § 817 S. 2 BGB dem Anspruch entgegensteht.</w:t>
      </w:r>
    </w:p>
    <w:p>
      <w:pPr>
        <w:jc w:val="left"/>
      </w:pPr>
      <w:r>
        <w:rPr>
          <w:b/>
        </w:rPr>
        <w:t>Frage 3:</w:t>
      </w:r>
      <w:r>
        <w:t xml:space="preserve"> Ist die Aufrechnung des G mit seinem Schadensersatzanspruch (150 EUR) wirksam? Beachten Sie die Voraussetzungen des § 387 BGB.</w:t>
      </w:r>
    </w:p>
    <w:p>
      <w:pPr>
        <w:jc w:val="left"/>
      </w:pPr>
      <w:r>
        <w:rPr>
          <w:b/>
        </w:rPr>
        <w:t>Frage 4:</w:t>
      </w:r>
      <w:r>
        <w:t xml:space="preserve"> Wem gehört das eingebaute Radarwarngerät nach den §§ 929 ff. BGB, wenn man annimmt, dass der Werkvertrag über den Einbau nichtig ist?</w:t>
      </w:r>
    </w:p>
    <w:p/>
    <w:p>
      <w:pPr>
        <w:pStyle w:val="Heading2"/>
      </w:pPr>
      <w:r>
        <w:rPr>
          <w:rFonts w:ascii="Times New Roman" w:hAnsi="Times New Roman"/>
        </w:rPr>
        <w:t>Bearbeitungshinweise</w:t>
      </w:r>
    </w:p>
    <w:p>
      <w:pPr>
        <w:pStyle w:val="ListBullet"/>
      </w:pPr>
      <w:r>
        <w:t>Bearbeitungszeit: 120 Minuten.</w:t>
      </w:r>
    </w:p>
    <w:p>
      <w:pPr>
        <w:pStyle w:val="ListBullet"/>
      </w:pPr>
      <w:r>
        <w:t>Gutachtenstil ist zwingend (Obersatz — Voraussetzungen — Subsumtion — Ergebnis).</w:t>
      </w:r>
    </w:p>
    <w:p>
      <w:pPr>
        <w:pStyle w:val="ListBullet"/>
      </w:pPr>
      <w:r>
        <w:t>Streitstände sind zu erkennen, darzustellen und zu entscheiden; bloßes Zitieren einer Meinung ohne eigene Stellungnahme ist unzureichend.</w:t>
      </w:r>
    </w:p>
    <w:p>
      <w:pPr>
        <w:pStyle w:val="ListBullet"/>
      </w:pPr>
      <w:r>
        <w:t>Relevante Normen: §§ 134, 138, 387, 433, 631, 633, 812, 817, 929 ff. BGB; § 23 StVO.</w:t>
      </w:r>
    </w:p>
    <w:p>
      <w:pPr>
        <w:pStyle w:val="ListBullet"/>
      </w:pPr>
      <w:r>
        <w:t>Beachten Sie BGH VII ZR 235/15 für die Frage der Nichtigkeit bei gesetzlichem Verbot (Schwarzarbeit; analoge Übertragung auf § 23 StVO ist argumentativ zu behandeln).</w:t>
      </w:r>
    </w:p>
    <w:p>
      <w:pPr>
        <w:pStyle w:val="ListBullet"/>
      </w:pPr>
      <w:r>
        <w:t>Hilfserwägungen nur dann, wenn die vorhergehende Hauptfrage verneint wurde.</w:t>
      </w:r>
    </w:p>
    <w:p/>
    <w:p>
      <w:pPr>
        <w:pStyle w:val="Heading2"/>
      </w:pPr>
      <w:r>
        <w:rPr>
          <w:rFonts w:ascii="Times New Roman" w:hAnsi="Times New Roman"/>
        </w:rPr>
        <w:t>Materialangaben (Quellen)</w:t>
      </w:r>
    </w:p>
    <w:p>
      <w:pPr>
        <w:pStyle w:val="ListBullet"/>
      </w:pPr>
      <w:r>
        <w:t>BGB §§ 134, 138, 387, 433, 631, 633, 812, 817, 929 ff.: dejure.org</w:t>
      </w:r>
    </w:p>
    <w:p>
      <w:pPr>
        <w:pStyle w:val="ListBullet"/>
      </w:pPr>
      <w:r>
        <w:t>BGH VII ZR 235/15: bundesgerichtshof.de / openjur.de</w:t>
      </w:r>
    </w:p>
    <w:p>
      <w:pPr>
        <w:pStyle w:val="ListBullet"/>
      </w:pPr>
      <w:r>
        <w:t>Larenz, Methodenlehre der Rechtswissenschaft; Medicus, BGB Allgemeiner Teil.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