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Bewertungsbogen — Fall 14 Übung für Fortgeschrittene SS 2026</w:t>
      </w:r>
    </w:p>
    <w:p>
      <w:pPr>
        <w:jc w:val="left"/>
      </w:pPr>
      <w:r>
        <w:rPr>
          <w:b/>
        </w:rPr>
        <w:t>Lehrstuhl Pohlmann-Wittfeldt — intern</w:t>
      </w:r>
    </w:p>
    <w:p>
      <w:pPr>
        <w:jc w:val="left"/>
      </w:pPr>
      <w:r>
        <w:rPr>
          <w:b/>
        </w:rPr>
        <w:t>Az.: Lehrstuhl Pohlmann ÜBG-SS2026-Fall-14</w:t>
      </w:r>
    </w:p>
    <w:p/>
    <w:p>
      <w:pPr>
        <w:pStyle w:val="Heading2"/>
      </w:pPr>
      <w:r>
        <w:rPr>
          <w:rFonts w:ascii="Times New Roman" w:hAnsi="Times New Roman"/>
        </w:rPr>
        <w:t>Korrekturnormen (verbindlich)</w:t>
      </w:r>
    </w:p>
    <w:p>
      <w:pPr>
        <w:jc w:val="left"/>
      </w:pPr>
      <w:r>
        <w:t>Die nachfolgende Gewichtung ist für beide Korrektoren verbindlich. Abweichungen von mehr als 2 Punkten je Teilfrage sind schriftlich zu begründen und Prof. Pohlmann-Wittfeldt zur Entscheidung vorzulegen.</w:t>
      </w:r>
    </w:p>
    <w:p>
      <w:pPr>
        <w:jc w:val="left"/>
      </w:pPr>
      <w:r>
        <w:t xml:space="preserve">Maximale Gesamtpunktzahl: </w:t>
      </w:r>
      <w:r>
        <w:rPr>
          <w:b/>
        </w:rPr>
        <w:t>25 Punkte</w:t>
      </w:r>
    </w:p>
    <w:p>
      <w:pPr>
        <w:jc w:val="left"/>
      </w:pPr>
      <w:r>
        <w:t xml:space="preserve">Bestehensgrenze: </w:t>
      </w:r>
      <w:r>
        <w:rPr>
          <w:b/>
        </w:rPr>
        <w:t>9 Punkte</w:t>
      </w:r>
      <w:r>
        <w:t xml:space="preserve"> (entspricht Note 4.0)</w:t>
      </w:r>
    </w:p>
    <w:p/>
    <w:p>
      <w:pPr>
        <w:pStyle w:val="Heading2"/>
      </w:pPr>
      <w:r>
        <w:rPr>
          <w:rFonts w:ascii="Times New Roman" w:hAnsi="Times New Roman"/>
        </w:rPr>
        <w:t>Bewertungsschema</w:t>
      </w:r>
    </w:p>
    <w:p>
      <w:pPr>
        <w:pStyle w:val="Heading3"/>
      </w:pPr>
      <w:r>
        <w:rPr>
          <w:rFonts w:ascii="Times New Roman" w:hAnsi="Times New Roman"/>
        </w:rPr>
        <w:t>Frage 1: Werklohnanspruch § 631 BGB (max. 8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Prüfungsschritt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Obersatz korrekt formuliert (§ 631, Parteien, Betrag)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Werkvertrag: Angebot und Annahme subsumiert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134 BGB erkannt und eröffnet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Verbotsgesetz § 23 StVO identifiziert und ausgelegt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Streitstand dargestellt (mindestens zwei Ansichten)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mit Begründung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 mit korrekter Folge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Frage 2: Bereicherungsanspruch §§ 812 ff. BGB (max. 6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Prüfungsschritt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Hilfsverhältnis korrekt gekennzeichnet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812 Abs. 1 S. 1 Alt. 1: Erlangtes, Leistung, kein Rechtsgrund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817 S. 2 BGB erkannt und subsumiert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 mit Begründung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Frage 3: Aufrechnung § 387 BGB (max. 5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Prüfungsschritt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Gegenseitigkeit (§ 387 Alt. 1) subsumiert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Gleichartigkeit (§ 387 Alt. 2) subsumiert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Fälligkeit und Erfüllbarkeit geprüft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Aufrechnungserklärung beachtet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Ergebnis: Erlöschensfolge § 389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Frage 4: Eigentumserwerb §§ 929 ff. BGB (max. 6 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Prüfungsschritt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§§ 93, 94 BGB — wesentlicher Bestandteil geprüft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Verneinung wesentlicher Bestandteil, korrekte Begründung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929 BGB: Einigung, Übergabe subsumiert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Abstraktionsprinzip erwähnt (Trennung Verpflichtungs-/Verfügungsgeschäft)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Ergebnis: Kondiktionsanspruch § 951 BGB, Sperrwirkung § 817 S.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Punkteabzüge (automatisch)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Fehler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Abzug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Feststellungsstil statt Gutachtenstil (je Abschnitt)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zu 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Streitstand ignoriert (je Streitstand)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Zirkelschluss in Subsumtion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Falsche Anspruchsgrundlage ohne Korrektur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 ohne Begründung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Notentabelle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 bis 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 (sehr gut)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 bis 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1,3 bis 1,7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 bis 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2,0 bis 2,3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 bis 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2,7 bis 3,0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 bis 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3,3 bis 3,7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 bis 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 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5,0 (nicht bestanden)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Unterschriften Korrektoren</w:t>
      </w:r>
    </w:p>
    <w:p>
      <w:pPr>
        <w:jc w:val="left"/>
      </w:pPr>
      <w:r>
        <w:t>Erstkorrektur: Dr. Hannes Tannenmoor _______ Datum: ___________</w:t>
      </w:r>
    </w:p>
    <w:p>
      <w:pPr>
        <w:jc w:val="left"/>
      </w:pPr>
      <w:r>
        <w:t>Zweitkorrektur: Dr. Lasse Eichmann-Roosendaal _______ Datum: ___________</w:t>
      </w:r>
    </w:p>
    <w:p>
      <w:pPr>
        <w:jc w:val="left"/>
      </w:pPr>
      <w:r>
        <w:t>Bestätigt: Prof. Dr. Eve Pohlmann-Wittfeldt _______ Datum: 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