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Klausur 01 — Klara Eichmann: Einzelbewertung</w:t>
      </w:r>
    </w:p>
    <w:p>
      <w:pPr>
        <w:jc w:val="left"/>
      </w:pPr>
      <w:r>
        <w:rPr>
          <w:b/>
        </w:rPr>
        <w:t>Übung für Fortgeschrittene SS 2026 — Fall 14</w:t>
      </w:r>
    </w:p>
    <w:p>
      <w:pPr>
        <w:jc w:val="left"/>
      </w:pPr>
      <w:r>
        <w:rPr>
          <w:b/>
        </w:rPr>
        <w:t>Korrektorin (Erst): Dr. Lasse Eichmann-Roosendaal</w:t>
      </w:r>
    </w:p>
    <w:p>
      <w:pPr>
        <w:jc w:val="left"/>
      </w:pPr>
      <w:r>
        <w:rPr>
          <w:b/>
        </w:rPr>
        <w:t>Korrektor (Zweit): Dr. Hannes Tannenmoor</w:t>
      </w:r>
    </w:p>
    <w:p/>
    <w:p>
      <w:pPr>
        <w:pStyle w:val="Heading2"/>
      </w:pPr>
      <w:r>
        <w:rPr>
          <w:rFonts w:ascii="Times New Roman" w:hAnsi="Times New Roman"/>
        </w:rPr>
        <w:t>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Klausurantin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Klara Eichmann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Matrikelnummer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2203847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Gesamtpunkte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 von 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2,7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Punkteverteilung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Max.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Erreicht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(§ 631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Streitstand gut dargestellt, Stellungnahme zu knapp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(§§ 812, 817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817 S. 2 erkannt, aber Subsumtion oberflächlich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(§ 387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Voraussetzungen geprüft, Erfüllbarkeit nur angedeutet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(§§ 929 ff.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Abstraktionsprinzip nicht erwähnt; § 93 BGB knapp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Qualitative Beurteilung</w:t>
      </w:r>
    </w:p>
    <w:p>
      <w:pPr>
        <w:jc w:val="left"/>
      </w:pPr>
      <w:r>
        <w:rPr>
          <w:b/>
        </w:rPr>
        <w:t>Stärken:</w:t>
      </w:r>
    </w:p>
    <w:p>
      <w:pPr>
        <w:pStyle w:val="ListBullet"/>
      </w:pPr>
      <w:r>
        <w:t>Gutachtenstil konsequent durchgehalten; Obersätze stets korrekt.</w:t>
      </w:r>
    </w:p>
    <w:p>
      <w:pPr>
        <w:pStyle w:val="ListBullet"/>
      </w:pPr>
      <w:r>
        <w:t>Erkennt § 134 BGB als maßgebliche Norm und benennt § 23 StVO.</w:t>
      </w:r>
    </w:p>
    <w:p>
      <w:pPr>
        <w:pStyle w:val="ListBullet"/>
      </w:pPr>
      <w:r>
        <w:t>Streitstand zu Frage 1 mit zwei Meinungen dargestellt.</w:t>
      </w:r>
    </w:p>
    <w:p>
      <w:pPr>
        <w:jc w:val="left"/>
      </w:pPr>
      <w:r>
        <w:rPr>
          <w:b/>
        </w:rPr>
        <w:t>Schwächen:</w:t>
      </w:r>
    </w:p>
    <w:p>
      <w:pPr>
        <w:pStyle w:val="ListBullet"/>
      </w:pPr>
      <w:r>
        <w:t>Frage 4: Das Abstraktionsprinzip fehlt vollständig. Eichmann subsumiert § 929 BGB, kommt aber zum falschen Ergebnis, weil sie die Wirksamkeit des Grundgeschäfts als Voraussetzung des Eigentumsübergangs behandelt.</w:t>
      </w:r>
    </w:p>
    <w:p>
      <w:pPr>
        <w:pStyle w:val="ListBullet"/>
      </w:pPr>
      <w:r>
        <w:t>§ 817 S. 2 BGB in Frage 2: Kurze Nennung ohne eigene Wertung, welche Handlung des K als sittenwidrig oder verbotswidrig anzusehen ist.</w:t>
      </w:r>
    </w:p>
    <w:p>
      <w:pPr>
        <w:jc w:val="left"/>
      </w:pPr>
      <w:r>
        <w:rPr>
          <w:b/>
        </w:rPr>
        <w:t>Typischer Fehler:</w:t>
      </w:r>
    </w:p>
    <w:p>
      <w:pPr>
        <w:jc w:val="left"/>
      </w:pPr>
      <w:r>
        <w:t>Die Verwechslung von Abstraktionsprinzip und Kausalgeschäft zeigt, dass das Sachenrecht noch nicht sicher beherrscht wird. Dies ist ein häufiger Fehler im zweiten Studienjahr und sollte im Feedback gezielt angesprochen werden.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Eichmann sollte das Gutachten zu Frage 4 vollständig überarbeiten und dabei die Trennung von schuldrechtlichem Grundgeschäft und dinglichem Vollzugsgeschäft (§§ 929 ff. BGB) herausarbeiten. Empfohlene Lektüre: Medicus/Lorenz, Sachenrecht, Rn. 34 ff.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