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Klausur 02 — Sven Tannenfels: Einzelbewertung</w:t>
      </w:r>
    </w:p>
    <w:p>
      <w:pPr>
        <w:jc w:val="left"/>
      </w:pPr>
      <w:r>
        <w:rPr>
          <w:b/>
        </w:rPr>
        <w:t>Übung für Fortgeschrittene SS 2026 — Fall 14</w:t>
      </w:r>
    </w:p>
    <w:p>
      <w:pPr>
        <w:jc w:val="left"/>
      </w:pPr>
      <w:r>
        <w:rPr>
          <w:b/>
        </w:rPr>
        <w:t>Korrektoren: Dr. Hannes Tannenmoor (Erst) / Dr. Lasse Eichmann-Roosendaal (Zweit)</w:t>
      </w:r>
    </w:p>
    <w:p/>
    <w:p>
      <w:pPr>
        <w:pStyle w:val="Heading2"/>
      </w:pPr>
      <w:r>
        <w:rPr>
          <w:rFonts w:ascii="Times New Roman" w:hAnsi="Times New Roman"/>
        </w:rPr>
        <w:t>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Klausurant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Sven Tannenfels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Matrikelnummer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2198034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Gesamtpunkte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 von 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4,0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Bestanden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(knapp)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Punkteverteilung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Max.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Erreicht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(§ 631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134 BGB erkannt, Streitstand übersehen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 (§§ 812, 817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812 korrekt eröffnet; § 817 S. 2 nicht erkannt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 (§ 387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Gegenseitigkeit und Gleichartigkeit geprüft; Fälligkeit fehlt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 (§§ 929 ff.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Thema verfehlt: §§ 946/947 BGB statt § 929 BGB geprüft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Qualitative Beurteilung</w:t>
      </w:r>
    </w:p>
    <w:p>
      <w:pPr>
        <w:jc w:val="left"/>
      </w:pPr>
      <w:r>
        <w:rPr>
          <w:b/>
        </w:rPr>
        <w:t>Stärken:</w:t>
      </w:r>
    </w:p>
    <w:p>
      <w:pPr>
        <w:pStyle w:val="ListBullet"/>
      </w:pPr>
      <w:r>
        <w:t>Erkennt § 134 BGB und § 23 StVO.</w:t>
      </w:r>
    </w:p>
    <w:p>
      <w:pPr>
        <w:pStyle w:val="ListBullet"/>
      </w:pPr>
      <w:r>
        <w:t>Struktur der Klausur insgesamt vorhanden; Fragen werden in der richtigen Reihenfolge abgearbeitet.</w:t>
      </w:r>
    </w:p>
    <w:p>
      <w:pPr>
        <w:pStyle w:val="ListBullet"/>
      </w:pPr>
      <w:r>
        <w:t>§ 812 Abs. 1 S. 1 korrekt eröffnet.</w:t>
      </w:r>
    </w:p>
    <w:p>
      <w:pPr>
        <w:jc w:val="left"/>
      </w:pPr>
      <w:r>
        <w:rPr>
          <w:b/>
        </w:rPr>
        <w:t>Schwächen:</w:t>
      </w:r>
    </w:p>
    <w:p>
      <w:pPr>
        <w:pStyle w:val="ListBullet"/>
      </w:pPr>
      <w:r>
        <w:t>Frage 1: Der Streitstand (Ansicht 1 vs. Ansicht 2, eng/weit, Übertragung BGH VII ZR 235/15) wird nicht dargestellt. Tannenfels bejaht die Nichtigkeit ohne Diskussion. Das ist inhaltlich vertretbar, methodisch aber unvollständig.</w:t>
      </w:r>
    </w:p>
    <w:p>
      <w:pPr>
        <w:pStyle w:val="ListBullet"/>
      </w:pPr>
      <w:r>
        <w:t>Frage 2: § 817 S. 2 BGB ist die zentrale Sperrnorin des Bereicherungsrechts — wird vollständig übergangen.</w:t>
      </w:r>
    </w:p>
    <w:p>
      <w:pPr>
        <w:pStyle w:val="ListBullet"/>
      </w:pPr>
      <w:r>
        <w:t>Frage 4: Schwerwiegender Systematikfehler. Tannenfels prüft §§ 946/947 BGB (Verbindung/Vermischung), obwohl das Gerät kein wesentlicher Bestandteil ist. § 929 BGB (rechtsgeschäftlicher Eigentumsübergang) fehlt gänzlich.</w:t>
      </w:r>
    </w:p>
    <w:p>
      <w:pPr>
        <w:jc w:val="left"/>
      </w:pPr>
      <w:r>
        <w:rPr>
          <w:b/>
        </w:rPr>
        <w:t>Typischer Fehler:</w:t>
      </w:r>
    </w:p>
    <w:p>
      <w:pPr>
        <w:jc w:val="left"/>
      </w:pPr>
      <w:r>
        <w:t>Streitstandübersehung (Fehlertyp 2) und Anspruchsgrundlagenverwechslung bei Frage 4 (Fehlertyp 1). Tannenfels versteht die Grundproblematik, scheitert aber an der methodischen Durchführung.</w:t>
      </w:r>
    </w:p>
    <w:p/>
    <w:p>
      <w:pPr>
        <w:pStyle w:val="Heading2"/>
      </w:pPr>
      <w:r>
        <w:rPr>
          <w:rFonts w:ascii="Times New Roman" w:hAnsi="Times New Roman"/>
        </w:rPr>
        <w:t>Empfehlung</w:t>
      </w:r>
    </w:p>
    <w:p>
      <w:pPr>
        <w:jc w:val="left"/>
      </w:pPr>
      <w:r>
        <w:t>Tannenfels sollte dringend an der Technik der Streitstandsdarstellung und -entscheidung arbeiten. Das Schema "Meinungsstand — Argumente — eigene Stellungnahme" fehlt ihm vollständig. Außerdem: Grundwissen zu §§ 929 ff. BGB auffrischen; §§ 946/947 BGB sind Sondertatbestände und setzen voraus, dass ein wesentlicher Bestandteil vorliegt.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