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Klausur 04 — Heike Wittfeldt: Einzelbewertung (Musterklausur)</w:t>
      </w:r>
    </w:p>
    <w:p>
      <w:pPr>
        <w:jc w:val="left"/>
      </w:pPr>
      <w:r>
        <w:rPr>
          <w:b/>
        </w:rPr>
        <w:t>Übung für Fortgeschrittene SS 2026 — Fall 14</w:t>
      </w:r>
    </w:p>
    <w:p>
      <w:pPr>
        <w:jc w:val="left"/>
      </w:pPr>
      <w:r>
        <w:rPr>
          <w:b/>
        </w:rPr>
        <w:t>Korrektoren: Dr. Lasse Eichmann-Roosendaal (Erst) / Dr. Hannes Tannenmoor (Zweit)</w:t>
      </w:r>
    </w:p>
    <w:p/>
    <w:p>
      <w:pPr>
        <w:pStyle w:val="Heading2"/>
      </w:pPr>
      <w:r>
        <w:rPr>
          <w:rFonts w:ascii="Times New Roman" w:hAnsi="Times New Roman"/>
        </w:rPr>
        <w:t>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Klausurantin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Heike Wittfeldt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Matrikelnummer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2195561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Gesamtpunkte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 von 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1,3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Bestanden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 (Musterklausur)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Punkteverteilung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Max.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Erreicht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 (§ 631 BGB)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Vollständig und methodisch korrekt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 (§§ 812, 817 BGB)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817 S. 2 BGB musterhaft subsumiert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 (§ 387 BGB)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 Voraussetzungen; Erlöschensfolge § 389 BGB korrekt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 (§§ 929 ff. BGB)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Abstraktionsprinzip, aber § 951 BGB nicht vollständig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Qualitative Beurteilung</w:t>
      </w:r>
    </w:p>
    <w:p>
      <w:pPr>
        <w:jc w:val="left"/>
      </w:pPr>
      <w:r>
        <w:rPr>
          <w:b/>
        </w:rPr>
        <w:t>Stärken:</w:t>
      </w:r>
    </w:p>
    <w:p>
      <w:pPr>
        <w:pStyle w:val="ListBullet"/>
      </w:pPr>
      <w:r>
        <w:t>Musterhafter Gutachtenstil in allen vier Fragen.</w:t>
      </w:r>
    </w:p>
    <w:p>
      <w:pPr>
        <w:pStyle w:val="ListBullet"/>
      </w:pPr>
      <w:r>
        <w:t>Frage 1: Streitstand zu § 134 BGB / § 23 StVO mit drei Argumenten je Seite; eigene begründete Stellungnahme.</w:t>
      </w:r>
    </w:p>
    <w:p>
      <w:pPr>
        <w:pStyle w:val="ListBullet"/>
      </w:pPr>
      <w:r>
        <w:t>Frage 2: § 817 S. 2 BGB methodisch sauber subsumiert: Wittfeldt erkennt, dass K bei Vornahme der Werkleistung wusste, dass das Gerät für einen verbotenen Zweck genutzt werden soll, und subsumiert dies unter "dem Leistenden selbst fällt ein Verstoß zur Last".</w:t>
      </w:r>
    </w:p>
    <w:p>
      <w:pPr>
        <w:pStyle w:val="ListBullet"/>
      </w:pPr>
      <w:r>
        <w:t>Frage 3: Vollständige Prüfung einschließlich der Erfüllbarkeit der Hauptforderung und der Aufrechnungserklärung; Erlöschensfolge mit korrektem Zahlenergebnis (270 EUR).</w:t>
      </w:r>
    </w:p>
    <w:p>
      <w:pPr>
        <w:pStyle w:val="ListBullet"/>
      </w:pPr>
      <w:r>
        <w:t>Frage 4: Abstraktionsprinzip ausführlich erklärt; §§ 93, 929 BGB subsumiert.</w:t>
      </w:r>
    </w:p>
    <w:p>
      <w:pPr>
        <w:jc w:val="left"/>
      </w:pPr>
      <w:r>
        <w:rPr>
          <w:b/>
        </w:rPr>
        <w:t>Kleine Schwäche:</w:t>
      </w:r>
    </w:p>
    <w:p>
      <w:pPr>
        <w:jc w:val="left"/>
      </w:pPr>
      <w:r>
        <w:t>§ 951 BGB in Frage 4 nur angesprochen, aber die Sperrwirkung des § 817 S. 2 BGB nicht auf den § 951-Anspruch übertragen. Das kostet 3 Punkte.</w:t>
      </w:r>
    </w:p>
    <w:p/>
    <w:p>
      <w:pPr>
        <w:pStyle w:val="Heading2"/>
      </w:pPr>
      <w:r>
        <w:rPr>
          <w:rFonts w:ascii="Times New Roman" w:hAnsi="Times New Roman"/>
        </w:rPr>
        <w:t>Entscheidung Prof. Pohlmann-Wittfeldt</w:t>
      </w:r>
    </w:p>
    <w:p>
      <w:pPr>
        <w:jc w:val="left"/>
      </w:pPr>
      <w:r>
        <w:t>Wittfeldts Klausur wird (nach Anonymisierung der Matrikelnummer) als Musterklausur für die Nachbesprechung freigegeben.</w:t>
      </w:r>
    </w:p>
    <w:p>
      <w:pPr>
        <w:jc w:val="left"/>
      </w:pPr>
      <w:r>
        <w:t>Hinweis: Anonymisierung abgeschlossen am 12. Juni 2026 durch Dr. Tannenmoor.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