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Klausur 05 — Konrad Birkenhain: Einzelbewertung und Anfechtungsankündigung</w:t>
      </w:r>
    </w:p>
    <w:p>
      <w:pPr>
        <w:jc w:val="left"/>
      </w:pPr>
      <w:r>
        <w:rPr>
          <w:b/>
        </w:rPr>
        <w:t>Übung für Fortgeschrittene SS 2026 — Fall 14</w:t>
      </w:r>
    </w:p>
    <w:p>
      <w:pPr>
        <w:jc w:val="left"/>
      </w:pPr>
      <w:r>
        <w:rPr>
          <w:b/>
        </w:rPr>
        <w:t>Korrektoren: Dr. Hannes Tannenmoor (Erst) / Dr. Lasse Eichmann-Roosendaal (Zweit)</w:t>
      </w:r>
    </w:p>
    <w:p>
      <w:pPr>
        <w:jc w:val="left"/>
      </w:pPr>
      <w:r>
        <w:rPr>
          <w:b/>
        </w:rPr>
        <w:t>Prüfungsamt-Az.: PA-2026-S-1188</w:t>
      </w:r>
    </w:p>
    <w:p/>
    <w:p>
      <w:pPr>
        <w:pStyle w:val="Heading2"/>
      </w:pPr>
      <w:r>
        <w:rPr>
          <w:rFonts w:ascii="Times New Roman" w:hAnsi="Times New Roman"/>
        </w:rP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Klausurant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Konrad Birkenhain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Matrikelnummer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2208719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 von 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 angekündigt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(schriftlich, 15. Juni 2026)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Punkteverteilung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(§ 631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§ 631 BGB genannt; keine 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(§§ 812, 817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812 erwähnt; kein Aufbau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(§ 387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"Aufrechnung möglich" ohne 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(§§ 929 ff.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Komplett verfehlt; § 242 BGB statt §§ 929 ff.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Qualitative Beurteilung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Keine nennenswerten Stärken. Normen werden vereinzelt richtig benannt.</w:t>
      </w:r>
    </w:p>
    <w:p>
      <w:pPr>
        <w:jc w:val="left"/>
      </w:pPr>
      <w:r>
        <w:rPr>
          <w:b/>
        </w:rPr>
        <w:t>Schwächen — detailliert:</w:t>
      </w:r>
    </w:p>
    <w:p>
      <w:pPr>
        <w:jc w:val="left"/>
      </w:pPr>
      <w:r>
        <w:rPr>
          <w:b/>
        </w:rPr>
        <w:t>Frage 1:</w:t>
      </w:r>
      <w:r>
        <w:t xml:space="preserve"> Birkenhain nennt § 631 BGB im Obersatz, nimmt aber sofort das Ergebnis vorweg ("Anspruch besteht, da Vertrag geschlossen wurde") ohne jede Prüfung der Nichtigkeitsvoraussetzungen. Gutachtenstil ist vollständig verletzt (Fehlertyp 5).</w:t>
      </w:r>
    </w:p>
    <w:p>
      <w:pPr>
        <w:jc w:val="left"/>
      </w:pPr>
      <w:r>
        <w:rPr>
          <w:b/>
        </w:rPr>
        <w:t>Frage 2:</w:t>
      </w:r>
      <w:r>
        <w:t xml:space="preserve"> § 812 BGB erwähnt, aber ohne Tatbestandselemente. Weder "etwas erlangt" noch "durch Leistung" noch "ohne Rechtsgrund" werden subsumiert. § 817 S. 2 BGB fehlt. Birkenhain schreibt: "K hat keinen Bereicherungsanspruch, weil er schuld ist." — Dieser Satz enthält keinen rechtlichen Gedanken.</w:t>
      </w:r>
    </w:p>
    <w:p>
      <w:pPr>
        <w:jc w:val="left"/>
      </w:pPr>
      <w:r>
        <w:rPr>
          <w:b/>
        </w:rPr>
        <w:t>Frage 3:</w:t>
      </w:r>
      <w:r>
        <w:t xml:space="preserve"> Lediglich "Aufrechnung ist möglich." ohne Auseinandersetzung mit den Voraussetzungen des § 387 BGB.</w:t>
      </w:r>
    </w:p>
    <w:p>
      <w:pPr>
        <w:jc w:val="left"/>
      </w:pPr>
      <w:r>
        <w:rPr>
          <w:b/>
        </w:rPr>
        <w:t>Frage 4:</w:t>
      </w:r>
      <w:r>
        <w:t xml:space="preserve"> Gravierender Systematikfehler. Birkenhain prüft § 242 BGB (Treu und Glauben) statt der sachenrechtlichen Übereignungstatbestände. §§ 929 ff. BGB werden nicht erwähnt. Das Abstraktionsprinzip ist Birkenhain offenbar unbekannt.</w:t>
      </w:r>
    </w:p>
    <w:p>
      <w:pPr>
        <w:jc w:val="left"/>
      </w:pPr>
      <w:r>
        <w:rPr>
          <w:b/>
        </w:rPr>
        <w:t>Zirkelschluss in Frage 1 (Fehlertyp 4):</w:t>
      </w:r>
      <w:r>
        <w:t xml:space="preserve"> Birkenhain begründet die Wirksamkeit des Vertrages damit, dass "Werkverträge grundsätzlich gültig sind, wenn sie geschlossen werden, was hier der Fall ist." Das ist ein klassischer Zirkelschluss.</w:t>
      </w:r>
    </w:p>
    <w:p/>
    <w:p>
      <w:pPr>
        <w:pStyle w:val="Heading2"/>
      </w:pPr>
      <w:r>
        <w:rPr>
          <w:rFonts w:ascii="Times New Roman" w:hAnsi="Times New Roman"/>
        </w:rPr>
        <w:t>Anfechtungsankündigung</w:t>
      </w:r>
    </w:p>
    <w:p>
      <w:pPr>
        <w:jc w:val="left"/>
      </w:pPr>
      <w:r>
        <w:t>Birkenhain hat am 15. Juni 2026 schriftlich an das Prüfungsamt der Universität Bielefeld (PA-2026-S-1188) eine Prüfungsanfechtung angekündigt. Er rügt:</w:t>
      </w:r>
    </w:p>
    <w:p>
      <w:pPr>
        <w:pStyle w:val="ListNumber"/>
      </w:pPr>
      <w:r>
        <w:t>Bewertungsmaßstab sei unverhältnismäßig streng.</w:t>
      </w:r>
    </w:p>
    <w:p>
      <w:pPr>
        <w:pStyle w:val="ListNumber"/>
      </w:pPr>
      <w:r>
        <w:t>Aufgabenstellung sei unklar (§ 23 StVO nicht bekannt).</w:t>
      </w:r>
    </w:p>
    <w:p>
      <w:pPr>
        <w:pStyle w:val="ListNumber"/>
      </w:pPr>
      <w:r>
        <w:t>Erstkorrektur sei befangen (Dr. Tannenmoor kenne ihn persönlich).</w:t>
      </w:r>
    </w:p>
    <w:p>
      <w:pPr>
        <w:jc w:val="left"/>
      </w:pPr>
      <w:r>
        <w:rPr>
          <w:b/>
        </w:rPr>
        <w:t>Stellungnahme Dr. Tannenmoor:</w:t>
      </w:r>
      <w:r>
        <w:t xml:space="preserve"> Eine persönliche Bekanntschaft besteht nicht. Die Befangenheitsrüge ist unsubstantiiert.</w:t>
      </w:r>
    </w:p>
    <w:p>
      <w:pPr>
        <w:jc w:val="left"/>
      </w:pPr>
      <w:r>
        <w:rPr>
          <w:b/>
        </w:rPr>
        <w:t>Nächste Schritte:</w:t>
      </w:r>
      <w:r>
        <w:t xml:space="preserve"> Prüfungsamt hat Drittkorrektur durch externen Prüfer angeordnet; Stellungnahme des Lehrstuhls angefordert (Frist: 15. Juli 2026).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