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Fehlertyp 1: Falsche oder fehlende Anspruchsgrundlage</w:t>
      </w:r>
    </w:p>
    <w:p>
      <w:pPr>
        <w:jc w:val="left"/>
      </w:pPr>
      <w:r>
        <w:rPr>
          <w:b/>
        </w:rPr>
        <w:t>Fehlerinventar Fall 14 — Übung für Fortgeschrittene SS 2026</w:t>
      </w:r>
    </w:p>
    <w:p/>
    <w:p>
      <w:pPr>
        <w:pStyle w:val="Heading2"/>
      </w:pPr>
      <w:r>
        <w:rPr>
          <w:rFonts w:ascii="Times New Roman" w:hAnsi="Times New Roman"/>
        </w:rPr>
        <w:t>Definition</w:t>
      </w:r>
    </w:p>
    <w:p>
      <w:pPr>
        <w:jc w:val="left"/>
      </w:pPr>
      <w:r>
        <w:t>Fehlertyp 1 liegt vor, wenn eine Klausur:</w:t>
      </w:r>
    </w:p>
    <w:p>
      <w:pPr>
        <w:jc w:val="left"/>
      </w:pPr>
      <w:r>
        <w:t>(a) eine nicht einschlägige Anspruchsgrundlage prüft (Fehler der Auswahl), oder</w:t>
      </w:r>
    </w:p>
    <w:p>
      <w:pPr>
        <w:jc w:val="left"/>
      </w:pPr>
      <w:r>
        <w:t>(b) die einschlägige Anspruchsgrundlage vollständig übersieht (Fehler der Vollständigkeit), oder</w:t>
      </w:r>
    </w:p>
    <w:p>
      <w:pPr>
        <w:jc w:val="left"/>
      </w:pPr>
      <w:r>
        <w:t>(c) mehrere Anspruchsgrundlagen ohne Begründung der Reihenfolge oder des Konkurrenzverhältnisses vermengt.</w:t>
      </w:r>
    </w:p>
    <w:p/>
    <w:p>
      <w:pPr>
        <w:pStyle w:val="Heading2"/>
      </w:pPr>
      <w:r>
        <w:rPr>
          <w:rFonts w:ascii="Times New Roman" w:hAnsi="Times New Roman"/>
        </w:rPr>
        <w:t>Vorkommen in Fall 14</w:t>
      </w:r>
    </w:p>
    <w:p>
      <w:pPr>
        <w:pStyle w:val="Heading3"/>
      </w:pPr>
      <w:r>
        <w:rPr>
          <w:rFonts w:ascii="Times New Roman" w:hAnsi="Times New Roman"/>
        </w:rPr>
        <w:t>Tannenfels, Frage 4</w:t>
      </w:r>
    </w:p>
    <w:p>
      <w:pPr>
        <w:jc w:val="left"/>
      </w:pPr>
      <w:r>
        <w:rPr>
          <w:b/>
        </w:rPr>
        <w:t>Fehler:</w:t>
      </w:r>
      <w:r>
        <w:t xml:space="preserve"> Tannenfels prüft §§ 946/947 BGB (Verbindung und Vermischung) statt § 929 BGB (rechtsgeschäftlicher Eigentumsübergang). Er übersieht, dass das Radarwarngerät kein wesentlicher Bestandteil des Fahrzeugs ist und daher gesondert übereignet werden kann. §§ 946/947 BGB sind Sondertatbestände für gesetzlichen Eigentumserwerb bei wesentlichen Bestandteilen.</w:t>
      </w:r>
    </w:p>
    <w:p>
      <w:pPr>
        <w:jc w:val="left"/>
      </w:pPr>
      <w:r>
        <w:rPr>
          <w:b/>
        </w:rPr>
        <w:t>Korrekturleitlinie:</w:t>
      </w:r>
      <w:r>
        <w:t xml:space="preserve"> Erst Paragraf 93 BGB prüfen (wesentlicher Bestandteil?), verneinen, dann Paragraf 929 BGB als Rechtsgrundlage für den rechtsgeschäftlichen Erwerb heranziehen.</w:t>
      </w:r>
    </w:p>
    <w:p>
      <w:pPr>
        <w:jc w:val="left"/>
      </w:pPr>
      <w:r>
        <w:rPr>
          <w:b/>
        </w:rPr>
        <w:t>Einfluss auf Punkte:</w:t>
      </w:r>
      <w:r>
        <w:t xml:space="preserve"> -4 Punkte (Frage 4 fast vollständig verfehlt).</w:t>
      </w:r>
    </w:p>
    <w:p/>
    <w:p>
      <w:pPr>
        <w:pStyle w:val="Heading3"/>
      </w:pPr>
      <w:r>
        <w:rPr>
          <w:rFonts w:ascii="Times New Roman" w:hAnsi="Times New Roman"/>
        </w:rPr>
        <w:t>Roosendaal, Fragen 1 und 4</w:t>
      </w:r>
    </w:p>
    <w:p>
      <w:pPr>
        <w:jc w:val="left"/>
      </w:pPr>
      <w:r>
        <w:rPr>
          <w:b/>
        </w:rPr>
        <w:t>Frage 1:</w:t>
      </w:r>
      <w:r>
        <w:t xml:space="preserve"> Roosendaal prüft ausschließlich § 631 BGB und übersieht § 134 BGB vollständig. Das ist eine Fehler der Vollständigkeit: Die entscheidende Nichtigkeitsnorm wird nicht erkannt.</w:t>
      </w:r>
    </w:p>
    <w:p>
      <w:pPr>
        <w:jc w:val="left"/>
      </w:pPr>
      <w:r>
        <w:rPr>
          <w:b/>
        </w:rPr>
        <w:t>Frage 4:</w:t>
      </w:r>
      <w:r>
        <w:t xml:space="preserve"> § 929 BGB nur genannt, nicht subsumiert. Stattdessen § 985 BGB am Ende kurz erwähnt (Herausgabeanspruch), was systematisch falsch ist, weil es hier um den Eigentumserwerb, nicht den Eigentumsschutz geht.</w:t>
      </w:r>
    </w:p>
    <w:p>
      <w:pPr>
        <w:jc w:val="left"/>
      </w:pPr>
      <w:r>
        <w:rPr>
          <w:b/>
        </w:rPr>
        <w:t>Einfluss auf Punkte:</w:t>
      </w:r>
      <w:r>
        <w:t xml:space="preserve"> -6 Punkte kombiniert.</w:t>
      </w:r>
    </w:p>
    <w:p/>
    <w:p>
      <w:pPr>
        <w:pStyle w:val="Heading3"/>
      </w:pPr>
      <w:r>
        <w:rPr>
          <w:rFonts w:ascii="Times New Roman" w:hAnsi="Times New Roman"/>
        </w:rPr>
        <w:t>Birkenhain, Frage 4</w:t>
      </w:r>
    </w:p>
    <w:p>
      <w:pPr>
        <w:jc w:val="left"/>
      </w:pPr>
      <w:r>
        <w:rPr>
          <w:b/>
        </w:rPr>
        <w:t>Fehler:</w:t>
      </w:r>
      <w:r>
        <w:t xml:space="preserve"> § 242 BGB statt §§ 929 ff. BGB. Birkenhain argumentiert auf Ebene des allgemeinen Treuprinzips, obwohl die Frage eindeutig auf Eigentumsübergang gerichtet ist.</w:t>
      </w:r>
    </w:p>
    <w:p>
      <w:pPr>
        <w:jc w:val="left"/>
      </w:pPr>
      <w:r>
        <w:rPr>
          <w:b/>
        </w:rPr>
        <w:t>Einfluss auf Punkte:</w:t>
      </w:r>
      <w:r>
        <w:t xml:space="preserve"> Frage 4 mit 1 Punkt (nur für Erwähnung von Eigentumsübergang als Thema) bewertet.</w:t>
      </w:r>
    </w:p>
    <w:p/>
    <w:p>
      <w:pPr>
        <w:pStyle w:val="Heading2"/>
      </w:pPr>
      <w:r>
        <w:rPr>
          <w:rFonts w:ascii="Times New Roman" w:hAnsi="Times New Roman"/>
        </w:rPr>
        <w:t>Ursachenanalyse</w:t>
      </w:r>
    </w:p>
    <w:p>
      <w:pPr>
        <w:jc w:val="left"/>
      </w:pPr>
      <w:r>
        <w:t>Fehlertyp 1 entsteht typischerweise durch:</w:t>
      </w:r>
    </w:p>
    <w:p>
      <w:pPr>
        <w:pStyle w:val="ListNumber"/>
      </w:pPr>
      <w:r>
        <w:t>Unklare Normenkenntnis im Sachenrecht (§§ 929, 946, 947 BGB werden verwechselt).</w:t>
      </w:r>
    </w:p>
    <w:p>
      <w:pPr>
        <w:pStyle w:val="ListNumber"/>
      </w:pPr>
      <w:r>
        <w:t>Fehlende Lektüre des Sachverhalts (Tatbestandsmerkmale werden nicht auf den Fall angewendet).</w:t>
      </w:r>
    </w:p>
    <w:p>
      <w:pPr>
        <w:pStyle w:val="ListNumber"/>
      </w:pPr>
      <w:r>
        <w:t>Überspringen der Vorprüfung (§ 93 BGB — wesentlicher Bestandteil — wird ausgelassen).</w:t>
      </w:r>
    </w:p>
    <w:p/>
    <w:p>
      <w:pPr>
        <w:pStyle w:val="Heading2"/>
      </w:pPr>
      <w:r>
        <w:rPr>
          <w:rFonts w:ascii="Times New Roman" w:hAnsi="Times New Roman"/>
        </w:rPr>
        <w:t>Korrekturhinweis</w:t>
      </w:r>
    </w:p>
    <w:p>
      <w:pPr>
        <w:jc w:val="left"/>
      </w:pPr>
      <w:r>
        <w:t>Korrektoren sollten bei Fehlertyp 1 nicht schematisch 0 Punkte vergeben. Werden Teile der richtigen Anspruchsgrundlage erkannt oder wird das Problem methodisch richtig angegangen, sind Teilpunkte möglich. Der Bewertungsbogen sieht für Frage 4 "§ 929 BGB: Einigung, Übergabe subsumiert" mit 2 Punkten vor — dieser Teilpunkt kann auch bei partiell falscher Anspruchsgrundlage vergeben werden, wenn Einigung und Übergabe korrekt subsumiert werden.</w:t>
      </w:r>
    </w:p>
    <w:p/>
    <w:p>
      <w:pPr>
        <w:jc w:val="left"/>
      </w:pPr>
      <w:r>
        <w:rPr>
          <w:i/>
        </w:rPr>
        <w:t>Quellen: BGB §§ 93, 929, 946, 947 (dejure.org); Medicus/Lorenz, Sachenrecht, Rn. 34 ff.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