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Fehlertyp 2: Streitstand nicht erkannt oder nicht behandelt</w:t>
      </w:r>
    </w:p>
    <w:p>
      <w:pPr>
        <w:jc w:val="left"/>
      </w:pPr>
      <w:r>
        <w:rPr>
          <w:b/>
        </w:rPr>
        <w:t>Fehlerinventar Fall 14 — Übung für Fortgeschrittene SS 2026</w:t>
      </w:r>
    </w:p>
    <w:p/>
    <w:p>
      <w:pPr>
        <w:pStyle w:val="Heading2"/>
      </w:pPr>
      <w:r>
        <w:rPr>
          <w:rFonts w:ascii="Times New Roman" w:hAnsi="Times New Roman"/>
        </w:rPr>
        <w:t>Definition</w:t>
      </w:r>
    </w:p>
    <w:p>
      <w:pPr>
        <w:jc w:val="left"/>
      </w:pPr>
      <w:r>
        <w:t>Fehlertyp 2 liegt vor, wenn ein umstrittenes Rechtsproblem ohne Auseinandersetzung mit den konkurrierenden Meinungen entschieden wird, obwohl die Prüfungsaufgabe (oder der Sachverhalt) die Kontroverse evident macht.</w:t>
      </w:r>
    </w:p>
    <w:p>
      <w:pPr>
        <w:jc w:val="left"/>
      </w:pPr>
      <w:r>
        <w:t>Ein Streitstand muss mindestens folgendes enthalten:</w:t>
      </w:r>
    </w:p>
    <w:p>
      <w:pPr>
        <w:pStyle w:val="ListNumber"/>
      </w:pPr>
      <w:r>
        <w:t>Darstellung der Mindermeinung und der herrschenden Meinung (h.M.) oder zweier konkurrierender Lehrmeinungen.</w:t>
      </w:r>
    </w:p>
    <w:p>
      <w:pPr>
        <w:pStyle w:val="ListNumber"/>
      </w:pPr>
      <w:r>
        <w:t>Argumente für jede Position.</w:t>
      </w:r>
    </w:p>
    <w:p>
      <w:pPr>
        <w:pStyle w:val="ListNumber"/>
      </w:pPr>
      <w:r>
        <w:t>Eigene Stellungnahme mit Begründung.</w:t>
      </w:r>
    </w:p>
    <w:p/>
    <w:p>
      <w:pPr>
        <w:pStyle w:val="Heading2"/>
      </w:pPr>
      <w:r>
        <w:rPr>
          <w:rFonts w:ascii="Times New Roman" w:hAnsi="Times New Roman"/>
        </w:rPr>
        <w:t>Streitstand in Fall 14</w:t>
      </w:r>
    </w:p>
    <w:p>
      <w:pPr>
        <w:pStyle w:val="Heading3"/>
      </w:pPr>
      <w:r>
        <w:rPr>
          <w:rFonts w:ascii="Times New Roman" w:hAnsi="Times New Roman"/>
        </w:rPr>
        <w:t>Streit: Nichtigkeit des Werkvertrags bei § 23 StVO — § 134 BGB</w:t>
      </w:r>
    </w:p>
    <w:p>
      <w:pPr>
        <w:jc w:val="left"/>
      </w:pPr>
      <w:r>
        <w:rPr>
          <w:b/>
        </w:rPr>
        <w:t>Ansicht 1 (Nichtigkeit):</w:t>
      </w:r>
      <w:r>
        <w:t xml:space="preserve"> Der Vertrag ist nichtig, weil er auf die Ermöglichung einer Ordnungswidrigkeit (§ 23 StVO) abzielt. Der Schutzzweck des Verbots erstreckt sich auf den vorbereitenden Vertrag. Gestützt auf teleologische Auslegung und RG-Tradition.</w:t>
      </w:r>
    </w:p>
    <w:p>
      <w:pPr>
        <w:jc w:val="left"/>
      </w:pPr>
      <w:r>
        <w:rPr>
          <w:b/>
        </w:rPr>
        <w:t>Ansicht 2 (Wirksamkeit):</w:t>
      </w:r>
      <w:r>
        <w:t xml:space="preserve"> Der Vertrag ist wirksam; § 23 StVO richtet sich nur an den Nutzer, nicht an den Einbauenden. Die Entscheidung BGH VII ZR 235/15 (Schwarzarbeit) ist nicht direkt übertragbar, weil dort ein beiderseitiger Verstoß vorlag.</w:t>
      </w:r>
    </w:p>
    <w:p>
      <w:pPr>
        <w:jc w:val="left"/>
      </w:pPr>
      <w:r>
        <w:rPr>
          <w:b/>
        </w:rPr>
        <w:t>Referenz:</w:t>
      </w:r>
      <w:r>
        <w:t xml:space="preserve"> Larenz/Wolf, BGB AT, § 40 Rn. 12 ff.; Medicus, BGB AT, Rn. 636 ff.</w:t>
      </w:r>
    </w:p>
    <w:p/>
    <w:p>
      <w:pPr>
        <w:pStyle w:val="Heading2"/>
      </w:pPr>
      <w:r>
        <w:rPr>
          <w:rFonts w:ascii="Times New Roman" w:hAnsi="Times New Roman"/>
        </w:rPr>
        <w:t>Vorkommen in Fall 14</w:t>
      </w:r>
    </w:p>
    <w:p>
      <w:pPr>
        <w:pStyle w:val="Heading3"/>
      </w:pPr>
      <w:r>
        <w:rPr>
          <w:rFonts w:ascii="Times New Roman" w:hAnsi="Times New Roman"/>
        </w:rPr>
        <w:t>Eichmann (teilweise)</w:t>
      </w:r>
    </w:p>
    <w:p>
      <w:pPr>
        <w:jc w:val="left"/>
      </w:pPr>
      <w:r>
        <w:t>Eichmann stellt zwei Meinungen dar, aber ohne Argumente für jede Position. Die Darstellung ist pauschal ("eine Ansicht bejaht die Nichtigkeit, eine andere verneint sie"). Das reicht nicht aus. -1 Punkt.</w:t>
      </w:r>
    </w:p>
    <w:p>
      <w:pPr>
        <w:pStyle w:val="Heading3"/>
      </w:pPr>
      <w:r>
        <w:rPr>
          <w:rFonts w:ascii="Times New Roman" w:hAnsi="Times New Roman"/>
        </w:rPr>
        <w:t>Tannenfels</w:t>
      </w:r>
    </w:p>
    <w:p>
      <w:pPr>
        <w:jc w:val="left"/>
      </w:pPr>
      <w:r>
        <w:t>Tannenfels nennt § 134 BGB, bejaht die Nichtigkeit sofort und ohne jede Auseinandersetzung. Kein Streitstand erkennbar. -2 Punkte.</w:t>
      </w:r>
    </w:p>
    <w:p>
      <w:pPr>
        <w:pStyle w:val="Heading3"/>
      </w:pPr>
      <w:r>
        <w:rPr>
          <w:rFonts w:ascii="Times New Roman" w:hAnsi="Times New Roman"/>
        </w:rPr>
        <w:t>Roosendaal</w:t>
      </w:r>
    </w:p>
    <w:p>
      <w:pPr>
        <w:jc w:val="left"/>
      </w:pPr>
      <w:r>
        <w:t>§ 134 BGB wird nicht erkannt. Der Streitstand existiert für Roosendaal nicht. -3 Punkte (§ 134 übersehen + kein Streitstand).</w:t>
      </w:r>
    </w:p>
    <w:p>
      <w:pPr>
        <w:pStyle w:val="Heading3"/>
      </w:pPr>
      <w:r>
        <w:rPr>
          <w:rFonts w:ascii="Times New Roman" w:hAnsi="Times New Roman"/>
        </w:rPr>
        <w:t>Birkenhain</w:t>
      </w:r>
    </w:p>
    <w:p>
      <w:pPr>
        <w:jc w:val="left"/>
      </w:pPr>
      <w:r>
        <w:t>§ 134 BGB nicht erkannt. -3 Punkte.</w:t>
      </w:r>
    </w:p>
    <w:p/>
    <w:p>
      <w:pPr>
        <w:pStyle w:val="Heading2"/>
      </w:pPr>
      <w:r>
        <w:rPr>
          <w:rFonts w:ascii="Times New Roman" w:hAnsi="Times New Roman"/>
        </w:rPr>
        <w:t>Ursachenanalyse</w:t>
      </w:r>
    </w:p>
    <w:p>
      <w:pPr>
        <w:jc w:val="left"/>
      </w:pPr>
      <w:r>
        <w:t>Streitstandübersehung ist in vier von fünf Klausuren vertreten. Dies deutet auf ein strukturelles Problem in der Lehre hin:</w:t>
      </w:r>
    </w:p>
    <w:p>
      <w:pPr>
        <w:pStyle w:val="ListBullet"/>
      </w:pPr>
      <w:r>
        <w:t>Streitstände werden im Begleitkurs häufig nur passiv präsentiert (Folie mit "h.M./Mindermeinung"), aber nicht aktiv eingeübt.</w:t>
      </w:r>
    </w:p>
    <w:p>
      <w:pPr>
        <w:pStyle w:val="ListBullet"/>
      </w:pPr>
      <w:r>
        <w:t>Klausuranten verwechseln "ich kenne die Norm" mit "ich kenne den Streitstand".</w:t>
      </w:r>
    </w:p>
    <w:p>
      <w:pPr>
        <w:jc w:val="left"/>
      </w:pPr>
      <w:r>
        <w:rPr>
          <w:b/>
        </w:rPr>
        <w:t>Konsequenz für WS 2026/27:</w:t>
      </w:r>
      <w:r>
        <w:t xml:space="preserve"> Übungseinheit "Streitstanddarstellung" als eigenständiger Abschnitt in die Lehrveranstaltung aufnehmen. Schreibübungen mit Streitstandsskeletten.</w:t>
      </w:r>
    </w:p>
    <w:p/>
    <w:p>
      <w:pPr>
        <w:pStyle w:val="Heading2"/>
      </w:pPr>
      <w:r>
        <w:rPr>
          <w:rFonts w:ascii="Times New Roman" w:hAnsi="Times New Roman"/>
        </w:rPr>
        <w:t>Korrekturleitlinie Streitstandtechnik</w:t>
      </w:r>
    </w:p>
    <w:p>
      <w:pPr>
        <w:jc w:val="left"/>
      </w:pPr>
      <w:r>
        <w:rPr>
          <w:b/>
        </w:rPr>
        <w:t>Muster Obersatz Streitstand:</w:t>
      </w:r>
    </w:p>
    <w:p>
      <w:pPr>
        <w:jc w:val="left"/>
      </w:pPr>
      <w:r>
        <w:t>"Ob der Werkvertrag über den Einbau eines Radarwarngeräts nach § 134 BGB nichtig ist, ist umstritten."</w:t>
      </w:r>
    </w:p>
    <w:p>
      <w:pPr>
        <w:jc w:val="left"/>
      </w:pPr>
      <w:r>
        <w:rPr>
          <w:b/>
        </w:rPr>
        <w:t>Muster Argumentationsstruktur:</w:t>
      </w:r>
    </w:p>
    <w:p>
      <w:pPr>
        <w:jc w:val="left"/>
      </w:pPr>
      <w:r>
        <w:t>"Nach einer Ansicht [...], weil [...]. Dagegen wendet eine Gegenmeinung ein, dass [...]. Diese Ansicht überzeugt, weil [...]."</w:t>
      </w:r>
    </w:p>
    <w:p/>
    <w:p>
      <w:pPr>
        <w:jc w:val="left"/>
      </w:pPr>
      <w:r>
        <w:rPr>
          <w:i/>
        </w:rPr>
        <w:t>Quellen: Larenz, Methodenlehre der Rechtswissenschaft; Medicus, BGB AT, Rn. 636 ff.; BGB § 134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