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Fehlertyp 3: Falsches oder übersehenes Tatbestandsmerkmal</w:t>
      </w:r>
    </w:p>
    <w:p>
      <w:pPr>
        <w:jc w:val="left"/>
      </w:pPr>
      <w:r>
        <w:rPr>
          <w:b/>
        </w:rPr>
        <w:t>Fehlerinventar Fall 14 — Übung für Fortgeschrittene SS 2026</w:t>
      </w:r>
    </w:p>
    <w:p/>
    <w:p>
      <w:pPr>
        <w:pStyle w:val="Heading2"/>
      </w:pPr>
      <w:r>
        <w:rPr>
          <w:rFonts w:ascii="Times New Roman" w:hAnsi="Times New Roman"/>
        </w:rPr>
        <w:t>Definition</w:t>
      </w:r>
    </w:p>
    <w:p>
      <w:pPr>
        <w:jc w:val="left"/>
      </w:pPr>
      <w:r>
        <w:t>Fehlertyp 3 liegt vor, wenn ein Tatbestandsmerkmal einer Norm:</w:t>
      </w:r>
    </w:p>
    <w:p>
      <w:pPr>
        <w:jc w:val="left"/>
      </w:pPr>
      <w:r>
        <w:t>(a) falsch ausgelegt wird (Auslegungsfehler),</w:t>
      </w:r>
    </w:p>
    <w:p>
      <w:pPr>
        <w:jc w:val="left"/>
      </w:pPr>
      <w:r>
        <w:t>(b) auf den Sachverhalt falsch angewendet wird (Subsumtionsfehler), oder</w:t>
      </w:r>
    </w:p>
    <w:p>
      <w:pPr>
        <w:jc w:val="left"/>
      </w:pPr>
      <w:r>
        <w:t>(c) vollständig ausgelassen wird (Vollständigkeitsfehler).</w:t>
      </w:r>
    </w:p>
    <w:p/>
    <w:p>
      <w:pPr>
        <w:pStyle w:val="Heading2"/>
      </w:pPr>
      <w:r>
        <w:rPr>
          <w:rFonts w:ascii="Times New Roman" w:hAnsi="Times New Roman"/>
        </w:rPr>
        <w:t>Vorkommen in Fall 14</w:t>
      </w:r>
    </w:p>
    <w:p>
      <w:pPr>
        <w:pStyle w:val="Heading3"/>
      </w:pPr>
      <w:r>
        <w:rPr>
          <w:rFonts w:ascii="Times New Roman" w:hAnsi="Times New Roman"/>
        </w:rPr>
        <w:t>Tannenfels, Frage 3 (§ 387 BGB — Fälligkeit)</w:t>
      </w:r>
    </w:p>
    <w:p>
      <w:pPr>
        <w:jc w:val="left"/>
      </w:pPr>
      <w:r>
        <w:rPr>
          <w:b/>
        </w:rPr>
        <w:t>Fehler:</w:t>
      </w:r>
      <w:r>
        <w:t xml:space="preserve"> Tannenfels prüft Gegenseitigkeit und Gleichartigkeit der Forderungen, lässt aber die Fälligkeitsvoraussetzung aus. § 387 BGB setzt die Fälligkeit der Gegenforderung voraus. Zwar ist die Fälligkeit im konkreten Fall unproblematisch, aber die Auslassung eines Tatbestandsmerkmals ist als Fehler zu werten.</w:t>
      </w:r>
    </w:p>
    <w:p>
      <w:pPr>
        <w:jc w:val="left"/>
      </w:pPr>
      <w:r>
        <w:rPr>
          <w:b/>
        </w:rPr>
        <w:t>Einfluss:</w:t>
      </w:r>
      <w:r>
        <w:t xml:space="preserve"> -1 Punkt.</w:t>
      </w:r>
    </w:p>
    <w:p/>
    <w:p>
      <w:pPr>
        <w:pStyle w:val="Heading3"/>
      </w:pPr>
      <w:r>
        <w:rPr>
          <w:rFonts w:ascii="Times New Roman" w:hAnsi="Times New Roman"/>
        </w:rPr>
        <w:t>Roosendaal, Frage 2 (§ 812 BGB — "ohne Rechtsgrund")</w:t>
      </w:r>
    </w:p>
    <w:p>
      <w:pPr>
        <w:jc w:val="left"/>
      </w:pPr>
      <w:r>
        <w:rPr>
          <w:b/>
        </w:rPr>
        <w:t>Fehler:</w:t>
      </w:r>
      <w:r>
        <w:t xml:space="preserve"> Roosendaal subsumiert "etwas erlangt" (korrekt: das Radarwarngerät) und "durch Leistung" (korrekt: Einbau durch K), übersieht aber das Tatbestandsmerkmal "ohne rechtlichen Grund". Er kommt zum Ergebnis, K habe einen Bereicherungsanspruch, ohne die Prüfung des Rechtsgrundes überhaupt vorzunehmen.</w:t>
      </w:r>
    </w:p>
    <w:p>
      <w:pPr>
        <w:jc w:val="left"/>
      </w:pPr>
      <w:r>
        <w:rPr>
          <w:b/>
        </w:rPr>
        <w:t>Einfluss:</w:t>
      </w:r>
      <w:r>
        <w:t xml:space="preserve"> -2 Punkte; das Kernmerkmal fehlt.</w:t>
      </w:r>
    </w:p>
    <w:p/>
    <w:p>
      <w:pPr>
        <w:pStyle w:val="Heading3"/>
      </w:pPr>
      <w:r>
        <w:rPr>
          <w:rFonts w:ascii="Times New Roman" w:hAnsi="Times New Roman"/>
        </w:rPr>
        <w:t>Roosendaal, Frage 3 (§ 387 BGB — mehrere Merkmale)</w:t>
      </w:r>
    </w:p>
    <w:p>
      <w:pPr>
        <w:jc w:val="left"/>
      </w:pPr>
      <w:r>
        <w:rPr>
          <w:b/>
        </w:rPr>
        <w:t>Fehler:</w:t>
      </w:r>
      <w:r>
        <w:t xml:space="preserve"> Roosendaal nennt lediglich die Gegenseitigkeit. Die weiteren Merkmale (Gleichartigkeit, Fälligkeit, Erfüllbarkeit) fehlen vollständig. Der Abschnitt zu Frage 3 umfasst drei Zeilen.</w:t>
      </w:r>
    </w:p>
    <w:p>
      <w:pPr>
        <w:jc w:val="left"/>
      </w:pPr>
      <w:r>
        <w:rPr>
          <w:b/>
        </w:rPr>
        <w:t>Einfluss:</w:t>
      </w:r>
      <w:r>
        <w:t xml:space="preserve"> -3 Punkte.</w:t>
      </w:r>
    </w:p>
    <w:p/>
    <w:p>
      <w:pPr>
        <w:pStyle w:val="Heading3"/>
      </w:pPr>
      <w:r>
        <w:rPr>
          <w:rFonts w:ascii="Times New Roman" w:hAnsi="Times New Roman"/>
        </w:rPr>
        <w:t>Birkenhain, Frage 2 (§ 812 BGB — kein Aufbau)</w:t>
      </w:r>
    </w:p>
    <w:p>
      <w:pPr>
        <w:jc w:val="left"/>
      </w:pPr>
      <w:r>
        <w:rPr>
          <w:b/>
        </w:rPr>
        <w:t>Fehler:</w:t>
      </w:r>
      <w:r>
        <w:t xml:space="preserve"> Birkenhain benennt § 812 BGB, aber subsumiert kein einziges Tatbestandsmerkmal. "Etwas erlangt", "durch Leistung", "ohne Rechtsgrund" — alle drei fehlen.</w:t>
      </w:r>
    </w:p>
    <w:p>
      <w:pPr>
        <w:jc w:val="left"/>
      </w:pPr>
      <w:r>
        <w:rPr>
          <w:b/>
        </w:rPr>
        <w:t>Einfluss:</w:t>
      </w:r>
      <w:r>
        <w:t xml:space="preserve"> -5 Punkte für Frage 2.</w:t>
      </w:r>
    </w:p>
    <w:p/>
    <w:p>
      <w:pPr>
        <w:pStyle w:val="Heading3"/>
      </w:pPr>
      <w:r>
        <w:rPr>
          <w:rFonts w:ascii="Times New Roman" w:hAnsi="Times New Roman"/>
        </w:rPr>
        <w:t>Birkenhain, Frage 3 (§ 387 BGB)</w:t>
      </w:r>
    </w:p>
    <w:p>
      <w:pPr>
        <w:jc w:val="left"/>
      </w:pPr>
      <w:r>
        <w:rPr>
          <w:b/>
        </w:rPr>
        <w:t>Fehler:</w:t>
      </w:r>
      <w:r>
        <w:t xml:space="preserve"> "Aufrechnung ist möglich" ohne jede Prüfung. Kein Tatbestandsmerkmal erkennbar.</w:t>
      </w:r>
    </w:p>
    <w:p>
      <w:pPr>
        <w:jc w:val="left"/>
      </w:pPr>
      <w:r>
        <w:rPr>
          <w:b/>
        </w:rPr>
        <w:t>Einfluss:</w:t>
      </w:r>
      <w:r>
        <w:t xml:space="preserve"> -4 Punkte.</w:t>
      </w:r>
    </w:p>
    <w:p/>
    <w:p>
      <w:pPr>
        <w:pStyle w:val="Heading2"/>
      </w:pPr>
      <w:r>
        <w:rPr>
          <w:rFonts w:ascii="Times New Roman" w:hAnsi="Times New Roman"/>
        </w:rPr>
        <w:t>Häufigkeit und Schweregrad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Klausurant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Tatbestandsmerkmal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Abzug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Tannenfels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Fälligkeit ausgelassen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387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"ohne Rechtsgrund" fehlt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812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Roosendaal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Gleichartigkeit, Fälligkeit, Erfüllbarkeit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387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Birkenhain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drei Merkmale § 812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812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Birkenhain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Merkmale § 387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387 BGB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