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Fehlertyp 4: Subsumtionszirkularität (Zirkelschluss)</w:t>
      </w:r>
    </w:p>
    <w:p>
      <w:pPr>
        <w:jc w:val="left"/>
      </w:pPr>
      <w:r>
        <w:rPr>
          <w:b/>
        </w:rPr>
        <w:t>Fehlerinventar Fall 14 — Übung für Fortgeschrittene SS 2026</w:t>
      </w:r>
    </w:p>
    <w:p/>
    <w:p>
      <w:pPr>
        <w:pStyle w:val="Heading2"/>
      </w:pPr>
      <w:r>
        <w:rPr>
          <w:rFonts w:ascii="Times New Roman" w:hAnsi="Times New Roman"/>
        </w:rPr>
        <w:t>Definition</w:t>
      </w:r>
    </w:p>
    <w:p>
      <w:pPr>
        <w:jc w:val="left"/>
      </w:pPr>
      <w:r>
        <w:t xml:space="preserve">Ein Zirkelschluss (lat. </w:t>
      </w:r>
      <w:r>
        <w:rPr>
          <w:i/>
        </w:rPr>
        <w:t>petitio principii</w:t>
      </w:r>
      <w:r>
        <w:t>) liegt in der juristischen Subsumtion vor, wenn das Ergebnis bereits in den Prämissen enthalten ist oder wenn zur Begründung einer Aussage genau das herangezogen wird, was bewiesen werden soll.</w:t>
      </w:r>
    </w:p>
    <w:p>
      <w:pPr>
        <w:jc w:val="left"/>
      </w:pPr>
      <w:r>
        <w:rPr>
          <w:b/>
        </w:rPr>
        <w:t>Schema des Zirkelschlusses in der Klausur:</w:t>
      </w:r>
    </w:p>
    <w:p>
      <w:pPr>
        <w:pStyle w:val="ListBullet"/>
      </w:pPr>
      <w:r>
        <w:t>Behauptung A: "Der Vertrag ist wirksam."</w:t>
      </w:r>
    </w:p>
    <w:p>
      <w:pPr>
        <w:pStyle w:val="ListBullet"/>
      </w:pPr>
      <w:r>
        <w:t>Begründung: "Weil wirksame Verträge bindig sind."</w:t>
      </w:r>
    </w:p>
    <w:p>
      <w:pPr>
        <w:pStyle w:val="ListBullet"/>
      </w:pPr>
      <w:r>
        <w:t>Zirkel: Die Wirksamkeit wird mit der Wirksamkeit begründet.</w:t>
      </w:r>
    </w:p>
    <w:p/>
    <w:p>
      <w:pPr>
        <w:pStyle w:val="Heading2"/>
      </w:pPr>
      <w:r>
        <w:rPr>
          <w:rFonts w:ascii="Times New Roman" w:hAnsi="Times New Roman"/>
        </w:rPr>
        <w:t>Vorkommen in Fall 14</w:t>
      </w:r>
    </w:p>
    <w:p>
      <w:pPr>
        <w:pStyle w:val="Heading3"/>
      </w:pPr>
      <w:r>
        <w:rPr>
          <w:rFonts w:ascii="Times New Roman" w:hAnsi="Times New Roman"/>
        </w:rPr>
        <w:t>Birkenhain, Frage 1</w:t>
      </w:r>
    </w:p>
    <w:p>
      <w:pPr>
        <w:jc w:val="left"/>
      </w:pPr>
      <w:r>
        <w:rPr>
          <w:b/>
        </w:rPr>
        <w:t>Fundstelle:</w:t>
      </w:r>
      <w:r>
        <w:t xml:space="preserve"> Birkenhains Klausur, S. 2 (Korrektur Dr. Tannenmoor, Notiz in Margin):</w:t>
      </w:r>
    </w:p>
    <w:p>
      <w:pPr>
        <w:ind w:left="567"/>
      </w:pPr>
      <w:r>
        <w:rPr>
          <w:i/>
        </w:rPr>
        <w:t>"Werkverträge sind grundsätzlich gültig, wenn sie geschlossen werden. Das ist hier der Fall. Also besteht ein Anspruch aus § 631 BGB."</w:t>
      </w:r>
    </w:p>
    <w:p>
      <w:pPr>
        <w:jc w:val="left"/>
      </w:pPr>
      <w:r>
        <w:rPr>
          <w:b/>
        </w:rPr>
        <w:t>Analyse:</w:t>
      </w:r>
    </w:p>
    <w:p>
      <w:pPr>
        <w:pStyle w:val="ListBullet"/>
      </w:pPr>
      <w:r>
        <w:t>Obersatz: "K könnte einen Anspruch aus § 631 BGB haben." — formal korrekt.</w:t>
      </w:r>
    </w:p>
    <w:p>
      <w:pPr>
        <w:pStyle w:val="ListBullet"/>
      </w:pPr>
      <w:r>
        <w:t>Begründung: "Werkverträge sind gültig, wenn sie geschlossen werden." — tautologisch.</w:t>
      </w:r>
    </w:p>
    <w:p>
      <w:pPr>
        <w:pStyle w:val="ListBullet"/>
      </w:pPr>
      <w:r>
        <w:t>Die eigentliche Prüfungsfrage (Wirksamkeit trotz § 23 StVO / § 134 BGB) wird nicht angesprochen.</w:t>
      </w:r>
    </w:p>
    <w:p>
      <w:pPr>
        <w:pStyle w:val="ListBullet"/>
      </w:pPr>
      <w:r>
        <w:t>Das Ergebnis ("gültig") wird mit einer allgemeinen Aussage über Gültigkeit begründet, die nichts über den konkreten Fall aussagt.</w:t>
      </w:r>
    </w:p>
    <w:p>
      <w:pPr>
        <w:jc w:val="left"/>
      </w:pPr>
      <w:r>
        <w:rPr>
          <w:b/>
        </w:rPr>
        <w:t>Abzug:</w:t>
      </w:r>
      <w:r>
        <w:t xml:space="preserve"> -2 Punkte (Zirkelschluss + § 134 BGB nicht erkannt).</w:t>
      </w:r>
    </w:p>
    <w:p/>
    <w:p>
      <w:pPr>
        <w:pStyle w:val="Heading2"/>
      </w:pPr>
      <w:r>
        <w:rPr>
          <w:rFonts w:ascii="Times New Roman" w:hAnsi="Times New Roman"/>
        </w:rPr>
        <w:t>Abgrenzung zum Fehlertyp 5 (Gutachtenstil)</w:t>
      </w:r>
    </w:p>
    <w:p>
      <w:pPr>
        <w:jc w:val="left"/>
      </w:pPr>
      <w:r>
        <w:t>Der Zirkelschluss ist von der Verletzung des Gutachtenstils zu unterscheiden:</w:t>
      </w:r>
    </w:p>
    <w:p>
      <w:pPr>
        <w:pStyle w:val="ListBullet"/>
      </w:pPr>
      <w:r>
        <w:rPr>
          <w:b/>
        </w:rPr>
        <w:t>Fehlertyp 5</w:t>
      </w:r>
      <w:r>
        <w:t xml:space="preserve"> betrifft die </w:t>
      </w:r>
      <w:r>
        <w:rPr>
          <w:i/>
        </w:rPr>
        <w:t>Form</w:t>
      </w:r>
      <w:r>
        <w:t xml:space="preserve"> (Obersatz zuerst statt zuletzt).</w:t>
      </w:r>
    </w:p>
    <w:p>
      <w:pPr>
        <w:pStyle w:val="ListBullet"/>
      </w:pPr>
      <w:r>
        <w:rPr>
          <w:b/>
        </w:rPr>
        <w:t>Fehlertyp 4</w:t>
      </w:r>
      <w:r>
        <w:t xml:space="preserve"> betrifft den </w:t>
      </w:r>
      <w:r>
        <w:rPr>
          <w:i/>
        </w:rPr>
        <w:t>Inhalt</w:t>
      </w:r>
      <w:r>
        <w:t xml:space="preserve"> der Begründung (die Begründung setzt das voraus, was sie beweisen soll).</w:t>
      </w:r>
    </w:p>
    <w:p>
      <w:pPr>
        <w:jc w:val="left"/>
      </w:pPr>
      <w:r>
        <w:t>Eine Klausur kann formal den Gutachtenstil wahren (Obersatz, Prüfung, Ergebnis), aber dennoch einen Zirkelschluss enthalten.</w:t>
      </w:r>
    </w:p>
    <w:p/>
    <w:p>
      <w:pPr>
        <w:pStyle w:val="Heading2"/>
      </w:pPr>
      <w:r>
        <w:rPr>
          <w:rFonts w:ascii="Times New Roman" w:hAnsi="Times New Roman"/>
        </w:rPr>
        <w:t>Erkennung von Zirkelschlüssen</w:t>
      </w:r>
    </w:p>
    <w:p>
      <w:pPr>
        <w:jc w:val="left"/>
      </w:pPr>
      <w:r>
        <w:rPr>
          <w:b/>
        </w:rPr>
        <w:t>Erkennungsmerkmale:</w:t>
      </w:r>
    </w:p>
    <w:p>
      <w:pPr>
        <w:pStyle w:val="ListNumber"/>
      </w:pPr>
      <w:r>
        <w:t>Die Begründung enthält dieselben Worte wie die Behauptung (Stichwort: Synonymenersatz ohne Mehrwert).</w:t>
      </w:r>
    </w:p>
    <w:p>
      <w:pPr>
        <w:pStyle w:val="ListNumber"/>
      </w:pPr>
      <w:r>
        <w:t>Es werden allgemeine Aussagen ("Verträge sind wirksam...") statt fallbezogene Subsumtion geboten.</w:t>
      </w:r>
    </w:p>
    <w:p>
      <w:pPr>
        <w:pStyle w:val="ListNumber"/>
      </w:pPr>
      <w:r>
        <w:t>Die Begründung ist nicht falsifizierbar — sie würde für jeden Sachverhalt gelten.</w:t>
      </w:r>
    </w:p>
    <w:p>
      <w:pPr>
        <w:jc w:val="left"/>
      </w:pPr>
      <w:r>
        <w:rPr>
          <w:b/>
        </w:rPr>
        <w:t>Musterbeispiel (falsch):</w:t>
      </w:r>
    </w:p>
    <w:p>
      <w:pPr>
        <w:ind w:left="567"/>
      </w:pPr>
      <w:r>
        <w:rPr>
          <w:i/>
        </w:rPr>
        <w:t>"§ 134 BGB ist nicht anwendbar, weil kein Verbotsgesetz verletzt wurde. Werkverträge über handwerkliche Leistungen sind keine verbotenen Rechtsgeschäfte."</w:t>
      </w:r>
    </w:p>
    <w:p>
      <w:pPr>
        <w:jc w:val="left"/>
      </w:pPr>
      <w:r>
        <w:rPr>
          <w:b/>
        </w:rPr>
        <w:t>Musterbeispiel (richtig):</w:t>
      </w:r>
    </w:p>
    <w:p>
      <w:pPr>
        <w:ind w:left="567"/>
      </w:pPr>
      <w:r>
        <w:rPr>
          <w:i/>
        </w:rPr>
        <w:t>"§ 134 BGB ist anwendbar, wenn das Rechtsgeschäft gegen ein gesetzliches Verbot verstößt. § 23 StVO verbietet das Benutzen von Radarwarngeräten. Fraglich ist, ob dieses Verbot auch den Einbauvertrag erfasst oder nur die Nutzung durch den Fahrer..."</w:t>
      </w:r>
    </w:p>
    <w:p/>
    <w:p>
      <w:pPr>
        <w:pStyle w:val="Heading2"/>
      </w:pPr>
      <w:r>
        <w:rPr>
          <w:rFonts w:ascii="Times New Roman" w:hAnsi="Times New Roman"/>
        </w:rPr>
        <w:t>Häufigkeit</w:t>
      </w:r>
    </w:p>
    <w:p>
      <w:pPr>
        <w:jc w:val="left"/>
      </w:pPr>
      <w:r>
        <w:t>Fehlertyp 4 tritt in dieser Klausurgruppe nur einmal auf (Birkenhain). Er ist in der Praxis selten, aber wenn er auftritt, zeigt er ein fundamentales Methodenproblem an.</w:t>
      </w:r>
    </w:p>
    <w:p/>
    <w:p>
      <w:pPr>
        <w:jc w:val="left"/>
      </w:pPr>
      <w:r>
        <w:rPr>
          <w:i/>
        </w:rPr>
        <w:t>Quellen: Larenz, Methodenlehre der Rechtswissenschaft, Kap. 2; BGB § 134 (dejure.org).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