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BGH VII ZR 235/15 — Bezugsrechtsprechung Werkvertrag und § 134 BGB</w:t>
      </w:r>
    </w:p>
    <w:p>
      <w:pPr>
        <w:jc w:val="left"/>
      </w:pPr>
      <w:r>
        <w:rPr>
          <w:b/>
        </w:rPr>
        <w:t>Aktenstück 15 — Lehrstuhl Pohlmann-Wittfeldt</w:t>
      </w:r>
    </w:p>
    <w:p/>
    <w:p>
      <w:pPr>
        <w:pStyle w:val="Heading2"/>
      </w:pPr>
      <w:r>
        <w:rPr>
          <w:rFonts w:ascii="Times New Roman" w:hAnsi="Times New Roman"/>
        </w:rPr>
        <w:t>Entscheidungsdaten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Bundesgerichtshof (BGH), VII. Zivilsenat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VII ZR 235/15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 März 2017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Fundstelle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BGHZ 214, 145; NJW 2017, 1808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bundesgerichtshof.de / openjur.de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Leitsatz (vereinfacht)</w:t>
      </w:r>
    </w:p>
    <w:p>
      <w:pPr>
        <w:jc w:val="left"/>
      </w:pPr>
      <w:r>
        <w:t>Ein Werkvertrag, bei dem beide Vertragsparteien vorsätzlich gegen § 1 Abs. 2 Nr. 3 SchwarzArbG verstoßen (Schwarzarbeit), ist gemäß § 134 BGB nichtig. Der Unternehmer kann weder Werklohn noch Bereicherungsausgleich nach §§ 812, 818 BGB verlangen. Die Sperrwirkung des § 817 S. 2 BGB greift bei beiderseitigem Gesetzesverstoß.</w:t>
      </w:r>
    </w:p>
    <w:p/>
    <w:p>
      <w:pPr>
        <w:pStyle w:val="Heading2"/>
      </w:pPr>
      <w:r>
        <w:rPr>
          <w:rFonts w:ascii="Times New Roman" w:hAnsi="Times New Roman"/>
        </w:rPr>
        <w:t>Tragender Kern der Entscheidung</w:t>
      </w:r>
    </w:p>
    <w:p>
      <w:pPr>
        <w:jc w:val="left"/>
      </w:pPr>
      <w:r>
        <w:t>Der BGH hat in dieser Entscheidung seine frühere Rechtsprechung (vor BGH, Urt. v. 10. April 2014, VII ZR 241/13) aufgegeben und klargestellt:</w:t>
      </w:r>
    </w:p>
    <w:p>
      <w:pPr>
        <w:pStyle w:val="ListNumber"/>
      </w:pPr>
      <w:r>
        <w:rPr>
          <w:b/>
        </w:rPr>
        <w:t>Nichtigkeit des Vertrages:</w:t>
      </w:r>
      <w:r>
        <w:t xml:space="preserve"> Ein gegen das SchwarzArbG verstoßender Werkvertrag ist nach § 134 BGB nichtig. Das gilt auch dann, wenn der Mangel nur die Schwarzarbeit-Abrede betrifft.</w:t>
      </w:r>
    </w:p>
    <w:p>
      <w:pPr>
        <w:pStyle w:val="ListNumber"/>
      </w:pPr>
      <w:r>
        <w:rPr>
          <w:b/>
        </w:rPr>
        <w:t>Kein Bereicherungsanspruch:</w:t>
      </w:r>
      <w:r>
        <w:t xml:space="preserve"> Der Auftragnehmer (Unternehmer), der Schwarzarbeit geleistet hat, kann nicht nach §§ 812, 818 BGB Wertersatz verlangen. § 817 S. 2 BGB sperrt den Anspruch, weil dem Leistenden (dem Unternehmer) selbst ein Verstoß gegen das Verbotsgesetz zur Last fällt.</w:t>
      </w:r>
    </w:p>
    <w:p>
      <w:pPr>
        <w:pStyle w:val="ListNumber"/>
      </w:pPr>
      <w:r>
        <w:rPr>
          <w:b/>
        </w:rPr>
        <w:t>Kein Schadensersatz:</w:t>
      </w:r>
      <w:r>
        <w:t xml:space="preserve"> Auch § 280 BGB i.V.m. § 241 BGB (Verletzung einer Nebenpflicht) scheidet aus, wenn der Vertrag nichtig ist.</w:t>
      </w:r>
    </w:p>
    <w:p/>
    <w:p>
      <w:pPr>
        <w:pStyle w:val="Heading2"/>
      </w:pPr>
      <w:r>
        <w:rPr>
          <w:rFonts w:ascii="Times New Roman" w:hAnsi="Times New Roman"/>
        </w:rPr>
        <w:t>Übertragbarkeit auf Fall 14</w:t>
      </w:r>
    </w:p>
    <w:p>
      <w:pPr>
        <w:jc w:val="left"/>
      </w:pPr>
      <w:r>
        <w:rPr>
          <w:b/>
        </w:rPr>
        <w:t>Frage:</w:t>
      </w:r>
      <w:r>
        <w:t xml:space="preserve"> Lässt sich BGH VII ZR 235/15 auf den Werkvertrag zwischen K und G über den Einbau eines Radarwarngeräts (§ 23 StVO) übertragen?</w:t>
      </w:r>
    </w:p>
    <w:p>
      <w:pPr>
        <w:jc w:val="left"/>
      </w:pPr>
      <w:r>
        <w:rPr>
          <w:b/>
        </w:rPr>
        <w:t>Gemeinsamkeiten:</w:t>
      </w:r>
    </w:p>
    <w:p>
      <w:pPr>
        <w:pStyle w:val="ListBullet"/>
      </w:pPr>
      <w:r>
        <w:t>In beiden Fällen ist ein Werkvertrag auf eine gesetzwidrige Leistung gerichtet.</w:t>
      </w:r>
    </w:p>
    <w:p>
      <w:pPr>
        <w:pStyle w:val="ListBullet"/>
      </w:pPr>
      <w:r>
        <w:t>§ 134 BGB ist in beiden Konstellationen als Nichtigkeitsgrund zu prüfen.</w:t>
      </w:r>
    </w:p>
    <w:p>
      <w:pPr>
        <w:pStyle w:val="ListBullet"/>
      </w:pPr>
      <w:r>
        <w:t>In beiden Fällen stellt sich die Folgefrage nach § 817 S. 2 BGB.</w:t>
      </w:r>
    </w:p>
    <w:p>
      <w:pPr>
        <w:jc w:val="left"/>
      </w:pPr>
      <w:r>
        <w:rPr>
          <w:b/>
        </w:rPr>
        <w:t>Unterschiede:</w:t>
      </w:r>
    </w:p>
    <w:p>
      <w:pPr>
        <w:pStyle w:val="ListBullet"/>
      </w:pPr>
      <w:r>
        <w:t xml:space="preserve">In BGH VII ZR 235/15 verstießen </w:t>
      </w:r>
      <w:r>
        <w:rPr>
          <w:i/>
        </w:rPr>
        <w:t>beide</w:t>
      </w:r>
      <w:r>
        <w:t xml:space="preserve"> Parteien gegen das Verbotsgesetz (SchwarzArbG). Im hiesigen Fall verstößt nur G gegen § 23 StVO (Nutzungsverbot); K verstößt durch den Einbau nicht selbst gegen § 23 StVO.</w:t>
      </w:r>
    </w:p>
    <w:p>
      <w:pPr>
        <w:pStyle w:val="ListBullet"/>
      </w:pPr>
      <w:r>
        <w:t>Das SchwarzArbG ist ein Schutzgesetz mit besonders gravierendem Sozialversicherungshintergrund; § 23 StVO ist eine ordnungsrechtliche Norm ohne vergleichbare Schutzrichtung.</w:t>
      </w:r>
    </w:p>
    <w:p>
      <w:pPr>
        <w:pStyle w:val="ListBullet"/>
      </w:pPr>
      <w:r>
        <w:t>Die Verwerflichkeit des beiderseitigen Schwarzarbeits-Vorsatzes ist strukturell anders als die einseitige Nutzungsabsicht des G.</w:t>
      </w:r>
    </w:p>
    <w:p>
      <w:pPr>
        <w:jc w:val="left"/>
      </w:pPr>
      <w:r>
        <w:rPr>
          <w:b/>
        </w:rPr>
        <w:t>Ergebnis der Übertragungsprüfung:</w:t>
      </w:r>
    </w:p>
    <w:p>
      <w:pPr>
        <w:jc w:val="left"/>
      </w:pPr>
      <w:r>
        <w:t xml:space="preserve">BGH VII ZR 235/15 ist auf Fall 14 </w:t>
      </w:r>
      <w:r>
        <w:rPr>
          <w:i/>
        </w:rPr>
        <w:t>nicht direkt</w:t>
      </w:r>
      <w:r>
        <w:t xml:space="preserve"> übertragbar, wohl aber als Argumentationsreservoir: Wer in Fall 14 die Nichtigkeit nach § 134 BGB bejahen will, kann die Logik des BGH-Urteils heranziehen und auf die Förderung der verbotenen Nutzung durch K stützen. Das ist eine vertretbare, aber nicht zwingende Position.</w:t>
      </w:r>
    </w:p>
    <w:p/>
    <w:p>
      <w:pPr>
        <w:pStyle w:val="Heading2"/>
      </w:pPr>
      <w:r>
        <w:rPr>
          <w:rFonts w:ascii="Times New Roman" w:hAnsi="Times New Roman"/>
        </w:rPr>
        <w:t>Bedeutung für die Klausurbewertung</w:t>
      </w:r>
    </w:p>
    <w:p>
      <w:pPr>
        <w:jc w:val="left"/>
      </w:pPr>
      <w:r>
        <w:t>Klausuranten, die BGH VII ZR 235/15 kennen und im Streitstand zu Frage 1 verwenden, erhalten den Streitstandspunkt (2 Punkte). Eine vollständige Übertragung ohne Differenzierung ist jedoch methodisch zu rügen (keine kritische Auseinandersetzung mit den strukturellen Unterschieden).</w:t>
      </w:r>
    </w:p>
    <w:p>
      <w:pPr>
        <w:jc w:val="left"/>
      </w:pPr>
      <w:r>
        <w:t>Wittfeldt (22 Punkte) hat die Entscheidung korrekt zitiert und die Übertragbarkeit kritisch diskutiert.</w:t>
      </w:r>
    </w:p>
    <w:p/>
    <w:p>
      <w:pPr>
        <w:jc w:val="left"/>
      </w:pPr>
      <w:r>
        <w:rPr>
          <w:i/>
        </w:rPr>
        <w:t>Quellen: BGH VII ZR 235/15, BGHZ 214, 145 (bundesgerichtshof.de / openjur.de); BGB §§ 134, 812, 817 (dejure.org).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