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Strittiger Meinungsstand: Larenz vs. Medicus — § 134/§ 138 BGB und Geschäftsgrundlage</w:t>
      </w:r>
    </w:p>
    <w:p>
      <w:pPr>
        <w:jc w:val="left"/>
      </w:pPr>
      <w:r>
        <w:rPr>
          <w:b/>
        </w:rPr>
        <w:t>Aktenstück 16 — Lehrstuhl Pohlmann-Wittfeldt</w:t>
      </w:r>
    </w:p>
    <w:p/>
    <w:p>
      <w:pPr>
        <w:pStyle w:val="Heading2"/>
      </w:pPr>
      <w:r>
        <w:rPr>
          <w:rFonts w:ascii="Times New Roman" w:hAnsi="Times New Roman"/>
        </w:rPr>
        <w:t>Einleitung</w:t>
      </w:r>
    </w:p>
    <w:p>
      <w:pPr>
        <w:jc w:val="left"/>
      </w:pPr>
      <w:r>
        <w:t>In Fall 14 berührt die Prüfung zwei klassische Meinungsstände der BGB-Methodik, für die Larenz und Medicus paradigmatisch für konkurrierende Lager stehen. Beide Autoren sind in der Klausuranweisung (Bearbeitungshinweis) ausdrücklich als Referenzquellen genannt.</w:t>
      </w:r>
    </w:p>
    <w:p/>
    <w:p>
      <w:pPr>
        <w:pStyle w:val="Heading2"/>
      </w:pPr>
      <w:r>
        <w:rPr>
          <w:rFonts w:ascii="Times New Roman" w:hAnsi="Times New Roman"/>
        </w:rPr>
        <w:t>Meinungsstand 1: Reichweite von § 134 BGB bei einseitigem Normverstoß</w:t>
      </w:r>
    </w:p>
    <w:p>
      <w:pPr>
        <w:pStyle w:val="Heading3"/>
      </w:pPr>
      <w:r>
        <w:rPr>
          <w:rFonts w:ascii="Times New Roman" w:hAnsi="Times New Roman"/>
        </w:rPr>
        <w:t>Position Larenz (weite Auslegung)</w:t>
      </w:r>
    </w:p>
    <w:p>
      <w:pPr>
        <w:jc w:val="left"/>
      </w:pPr>
      <w:r>
        <w:t>Karl Larenz (Methodenlehre der Rechtswissenschaft, 6. Aufl., S. 343 ff.) vertritt im Kontext von Verbotsgesetzen eine teleologische Auslegung: Entscheidend ist der Schutzzweck des verletzten Gesetzes. Zielt das Verbotsgesetz auf die Verhinderung eines bestimmten Erfolgs (hier: Verwendung des Radarwarngeräts), ist auch das vorbereitende Rechtsgeschäft nichtig, wenn es gerade auf diesen Erfolg abzielt. Der Vertrag zwischen K und G hat als einzigen Zweck die Ermöglichung der verbotenen Nutzung.</w:t>
      </w:r>
    </w:p>
    <w:p>
      <w:pPr>
        <w:jc w:val="left"/>
      </w:pPr>
      <w:r>
        <w:rPr>
          <w:b/>
        </w:rPr>
        <w:t>Konsequenz für Fall 14:</w:t>
      </w:r>
      <w:r>
        <w:t xml:space="preserve"> Der Werkvertrag ist nach Larenz wegen § 134 BGB i.V.m. § 23 StVO nichtig.</w:t>
      </w:r>
    </w:p>
    <w:p>
      <w:pPr>
        <w:pStyle w:val="Heading3"/>
      </w:pPr>
      <w:r>
        <w:rPr>
          <w:rFonts w:ascii="Times New Roman" w:hAnsi="Times New Roman"/>
        </w:rPr>
        <w:t>Position Medicus (enge Auslegung)</w:t>
      </w:r>
    </w:p>
    <w:p>
      <w:pPr>
        <w:jc w:val="left"/>
      </w:pPr>
      <w:r>
        <w:t>Dieter Medicus (BGB Allgemeiner Teil, 12. Aufl., Rn. 636) plädiert für eine enge Interpretation von § 134 BGB: Nur wenn das Rechtsgeschäft selbst verboten ist (nicht nur der daraus resultierende Erfolg), ist es nichtig. Der Einbauvertrag als solcher ist nicht von § 23 StVO erfasst; der Paragraph richtet sich ausschließlich an den Nutzer. Eine Ausdehnung auf Vorbereitungshandlungen bedürfte einer ausdrücklichen gesetzlichen Grundlage.</w:t>
      </w:r>
    </w:p>
    <w:p>
      <w:pPr>
        <w:jc w:val="left"/>
      </w:pPr>
      <w:r>
        <w:rPr>
          <w:b/>
        </w:rPr>
        <w:t>Konsequenz für Fall 14:</w:t>
      </w:r>
      <w:r>
        <w:t xml:space="preserve"> Der Werkvertrag ist wirksam; K hat den vollen Werklohnanspruch.</w:t>
      </w:r>
    </w:p>
    <w:p/>
    <w:p>
      <w:pPr>
        <w:pStyle w:val="Heading2"/>
      </w:pPr>
      <w:r>
        <w:rPr>
          <w:rFonts w:ascii="Times New Roman" w:hAnsi="Times New Roman"/>
        </w:rPr>
        <w:t>Meinungsstand 2: § 138 BGB — Sittenwidrigkeit bei Förderung einer Ordnungswidrigkeit</w:t>
      </w:r>
    </w:p>
    <w:p>
      <w:pPr>
        <w:jc w:val="left"/>
      </w:pPr>
      <w:r>
        <w:t>Ein hiervon getrennter Streit betrifft die Frage, ob § 138 BGB greift, wenn ein Vertrag auf die Förderung einer Ordnungswidrigkeit gerichtet ist.</w:t>
      </w:r>
    </w:p>
    <w:p>
      <w:pPr>
        <w:pStyle w:val="Heading3"/>
      </w:pPr>
      <w:r>
        <w:rPr>
          <w:rFonts w:ascii="Times New Roman" w:hAnsi="Times New Roman"/>
        </w:rPr>
        <w:t>Position 1 (Sittenwidrigkeit bejaht)</w:t>
      </w:r>
    </w:p>
    <w:p>
      <w:pPr>
        <w:jc w:val="left"/>
      </w:pPr>
      <w:r>
        <w:t>Wer die Grenze zwischen § 134 BGB (Verbotsgesetz) und § 138 BGB (Sittenwidrigkeit) fließend zieht, kann argumentieren: Ein Vertrag, der bewusst darauf ausgerichtet ist, dem Vertragspartner die Begehung einer Ordnungswidrigkeit zu ermöglichen, verstößt gegen die guten Sitten (§ 138 Abs. 1 BGB). Das Bewusstsein der Verbotswidrigkeit reicht aus.</w:t>
      </w:r>
    </w:p>
    <w:p>
      <w:pPr>
        <w:pStyle w:val="Heading3"/>
      </w:pPr>
      <w:r>
        <w:rPr>
          <w:rFonts w:ascii="Times New Roman" w:hAnsi="Times New Roman"/>
        </w:rPr>
        <w:t>Position 2 (Sittenwidrigkeit verneint)</w:t>
      </w:r>
    </w:p>
    <w:p>
      <w:pPr>
        <w:jc w:val="left"/>
      </w:pPr>
      <w:r>
        <w:t>Die herrschende Meinung lehnt eine pauschale Anwendung des § 138 BGB bei bloßen Ordnungswidrigkeiten ab. § 138 BGB erfordert eine besondere sittliche Verwerflichkeit, die bei einem Radarwarngerät-Einbau nicht gegeben ist. Die Überschreitung von Verkehrsregeln durch Geschwindigkeitsmessung zu unterlaufen ist moralisch zweifelhaft, erfüllt aber nicht den Verwerflichkeitsmaßstab des § 138 BGB.</w:t>
      </w:r>
    </w:p>
    <w:p/>
    <w:p>
      <w:pPr>
        <w:pStyle w:val="Heading2"/>
      </w:pPr>
      <w:r>
        <w:rPr>
          <w:rFonts w:ascii="Times New Roman" w:hAnsi="Times New Roman"/>
        </w:rPr>
        <w:t>Tabellarischer 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Larenz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Medicus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h.M.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Nichtigkeit bei einseitigem Normverstoß (§ 134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(teleologisch)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(Wortlaut)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138 BGB bei OWi-Förderung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Diskutiert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Verneint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Verneint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BGH VII ZR 235/15 — Schwarzarbeit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Teleologisch stützend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direkt übertragbar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übertragbar (beiderseitiger Verstoß fehlt)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Bedeutung für die Klausur</w:t>
      </w:r>
    </w:p>
    <w:p>
      <w:pPr>
        <w:jc w:val="left"/>
      </w:pPr>
      <w:r>
        <w:t>Klausuranten müssen den Streitstand nicht mit Autorennamen benennen; ausreichend ist, die inhaltlichen Positionen darzustellen und zu bewerten. Die Nennung von Larenz/Medicus ist ein Qualitätsmerkmal, das auf die Punktestufe "Streitstanddarstellung mit Stellungnahme" (2 Punkte) hinweist.</w:t>
      </w:r>
    </w:p>
    <w:p/>
    <w:p>
      <w:pPr>
        <w:jc w:val="left"/>
      </w:pPr>
      <w:r>
        <w:rPr>
          <w:i/>
        </w:rPr>
        <w:t>Quellen: Larenz, Methodenlehre der Rechtswissenschaft; Medicus, BGB AT, Rn. 636; BGB §§ 134, 138 (dejure.org).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