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Folgeklausur-Entwurf mit Aufbauplan — WS 2026/27</w:t>
      </w:r>
    </w:p>
    <w:p>
      <w:pPr>
        <w:jc w:val="left"/>
      </w:pPr>
      <w:r>
        <w:rPr>
          <w:b/>
        </w:rPr>
        <w:t>Übung für Fortgeschrittene — Planung</w:t>
      </w:r>
    </w:p>
    <w:p>
      <w:pPr>
        <w:jc w:val="left"/>
      </w:pPr>
      <w:r>
        <w:rPr>
          <w:b/>
        </w:rPr>
        <w:t>Lehrstuhl Pohlmann-Wittfeldt</w:t>
      </w:r>
    </w:p>
    <w:p/>
    <w:p>
      <w:pPr>
        <w:pStyle w:val="Heading2"/>
      </w:pPr>
      <w:r>
        <w:rPr>
          <w:rFonts w:ascii="Times New Roman" w:hAnsi="Times New Roman"/>
        </w:rPr>
        <w:t>Zweck</w:t>
      </w:r>
    </w:p>
    <w:p>
      <w:pPr>
        <w:jc w:val="left"/>
      </w:pPr>
      <w:r>
        <w:t>Die Folgeklausur für WS 2026/27 soll gezielt die Schwächen aus SS 2026 adressieren. Insbesondere: Streitstandmethodik, § 817 S. 2 BGB, Abstraktionsprinzip, Gutachtenstil.</w:t>
      </w:r>
    </w:p>
    <w:p/>
    <w:p>
      <w:pPr>
        <w:pStyle w:val="Heading2"/>
      </w:pPr>
      <w:r>
        <w:rPr>
          <w:rFonts w:ascii="Times New Roman" w:hAnsi="Times New Roman"/>
        </w:rPr>
        <w:t>Entwurf Fall 15: Gebrauchtwagen, Mängelhaftung und Aufrechnung</w:t>
      </w:r>
    </w:p>
    <w:p>
      <w:pPr>
        <w:jc w:val="left"/>
      </w:pPr>
      <w:r>
        <w:rPr>
          <w:b/>
        </w:rPr>
        <w:t>Sachverhalt (Entwurf)</w:t>
      </w:r>
    </w:p>
    <w:p>
      <w:pPr>
        <w:jc w:val="left"/>
      </w:pPr>
      <w:r>
        <w:t>Käufer K erwirbt von Händler H einen Gebrauchtwagen für 8.500 EUR. Beim Kauf vereinbaren die Parteien mündlich: "Keine Mängelgewährleistung." Eine Woche nach Lieferung stellt K fest, dass der Km-Stand manipuliert ist (tatsächlich 180.000 km statt angezeigter 120.000 km). H hatte dies gewusst.</w:t>
      </w:r>
    </w:p>
    <w:p>
      <w:pPr>
        <w:jc w:val="left"/>
      </w:pPr>
      <w:r>
        <w:t>K verlangt Rückabwicklung. H lehnt ab. K erklärt den Rücktritt nach §§ 437 Nr. 2, 323 BGB. Parallel erklärt K die Aufrechnung mit einem nicht bestrittenen Darlehensanspruch von 500 EUR gegen H.</w:t>
      </w:r>
    </w:p>
    <w:p/>
    <w:p>
      <w:pPr>
        <w:pStyle w:val="Heading2"/>
      </w:pPr>
      <w:r>
        <w:rPr>
          <w:rFonts w:ascii="Times New Roman" w:hAnsi="Times New Roman"/>
        </w:rPr>
        <w:t>Aufbauplan (für Klausuranten)</w:t>
      </w:r>
    </w:p>
    <w:p>
      <w:pPr>
        <w:pStyle w:val="Heading3"/>
      </w:pPr>
      <w:r>
        <w:rPr>
          <w:rFonts w:ascii="Times New Roman" w:hAnsi="Times New Roman"/>
        </w:rPr>
        <w:t>Schritt 1: Anspruchsgrundlage bestimmen</w:t>
      </w:r>
    </w:p>
    <w:p>
      <w:pPr>
        <w:jc w:val="left"/>
      </w:pPr>
      <w:r>
        <w:t>Frage: Kann K die Rückabwicklung verlangen?</w:t>
      </w:r>
    </w:p>
    <w:p>
      <w:pPr>
        <w:jc w:val="left"/>
      </w:pPr>
      <w:r>
        <w:t>Mögliche Grundlagen:</w:t>
      </w:r>
    </w:p>
    <w:p>
      <w:pPr>
        <w:pStyle w:val="ListBullet"/>
      </w:pPr>
      <w:r>
        <w:t>§§ 433, 437 Nr. 2, 323, 346 BGB (Rücktritt wegen Sachmangel)</w:t>
      </w:r>
    </w:p>
    <w:p>
      <w:pPr>
        <w:pStyle w:val="ListBullet"/>
      </w:pPr>
      <w:r>
        <w:t>§§ 433, 437 Nr. 3, 280, 281 BGB (Schadensersatz statt der Leistung)</w:t>
      </w:r>
    </w:p>
    <w:p>
      <w:pPr>
        <w:pStyle w:val="ListBullet"/>
      </w:pPr>
      <w:r>
        <w:t>§ 812 BGB (Bereicherung, falls Vertrag nichtig)</w:t>
      </w:r>
    </w:p>
    <w:p>
      <w:pPr>
        <w:jc w:val="left"/>
      </w:pPr>
      <w:r>
        <w:t>Zu prüfen: Ist der Haftungsausschluss wirksam?</w:t>
      </w:r>
    </w:p>
    <w:p>
      <w:pPr>
        <w:pStyle w:val="Heading3"/>
      </w:pPr>
      <w:r>
        <w:rPr>
          <w:rFonts w:ascii="Times New Roman" w:hAnsi="Times New Roman"/>
        </w:rPr>
        <w:t>Schritt 2: Wirksamkeit des Haftungsausschlusses</w:t>
      </w:r>
    </w:p>
    <w:p>
      <w:pPr>
        <w:pStyle w:val="ListBullet"/>
      </w:pPr>
      <w:r>
        <w:t>§ 444 BGB: Haftungsausschluss unwirksam bei arglistigem Verschweigen eines Mangels.</w:t>
      </w:r>
    </w:p>
    <w:p>
      <w:pPr>
        <w:pStyle w:val="ListBullet"/>
      </w:pPr>
      <w:r>
        <w:t>Streitstand: Gilt § 444 BGB auch bei formlosen mündlichen Vereinbarungen? — Ja, § 444 BGB enthält kein Formerfordernis.</w:t>
      </w:r>
    </w:p>
    <w:p>
      <w:pPr>
        <w:pStyle w:val="Heading3"/>
      </w:pPr>
      <w:r>
        <w:rPr>
          <w:rFonts w:ascii="Times New Roman" w:hAnsi="Times New Roman"/>
        </w:rPr>
        <w:t>Schritt 3: Sachmangel</w:t>
      </w:r>
    </w:p>
    <w:p>
      <w:pPr>
        <w:pStyle w:val="ListBullet"/>
      </w:pPr>
      <w:r>
        <w:t>§ 434 BGB: Beschaffenheit. Km-Manipulation = Sachmangel.</w:t>
      </w:r>
    </w:p>
    <w:p>
      <w:pPr>
        <w:pStyle w:val="ListBullet"/>
      </w:pPr>
      <w:r>
        <w:t>Arglist des H: Kenntnis der Manipulation nachgewiesen.</w:t>
      </w:r>
    </w:p>
    <w:p>
      <w:pPr>
        <w:pStyle w:val="Heading3"/>
      </w:pPr>
      <w:r>
        <w:rPr>
          <w:rFonts w:ascii="Times New Roman" w:hAnsi="Times New Roman"/>
        </w:rPr>
        <w:t>Schritt 4: Rücktritt</w:t>
      </w:r>
    </w:p>
    <w:p>
      <w:pPr>
        <w:pStyle w:val="ListBullet"/>
      </w:pPr>
      <w:r>
        <w:t>§§ 437 Nr. 2, 323 BGB: Voraussetzungen.</w:t>
      </w:r>
    </w:p>
    <w:p>
      <w:pPr>
        <w:pStyle w:val="ListBullet"/>
      </w:pPr>
      <w:r>
        <w:t>Fristsetzung erforderlich? Nein, § 323 Abs. 2 Nr. 3 BGB: ernsthafte und endgültige Erfüllungsverweigerung durch H.</w:t>
      </w:r>
    </w:p>
    <w:p>
      <w:pPr>
        <w:pStyle w:val="Heading3"/>
      </w:pPr>
      <w:r>
        <w:rPr>
          <w:rFonts w:ascii="Times New Roman" w:hAnsi="Times New Roman"/>
        </w:rPr>
        <w:t>Schritt 5: Aufrechnung</w:t>
      </w:r>
    </w:p>
    <w:p>
      <w:pPr>
        <w:pStyle w:val="ListBullet"/>
      </w:pPr>
      <w:r>
        <w:t>§ 387 BGB: Gegenseitigkeit, Gleichartigkeit, Fälligkeit.</w:t>
      </w:r>
    </w:p>
    <w:p>
      <w:pPr>
        <w:pStyle w:val="ListBullet"/>
      </w:pPr>
      <w:r>
        <w:t>Sonderfall: Aufrechnung gegen Rückgewährschuldverhältnis — zulässig.</w:t>
      </w:r>
    </w:p>
    <w:p/>
    <w:p>
      <w:pPr>
        <w:pStyle w:val="Heading2"/>
      </w:pPr>
      <w:r>
        <w:rPr>
          <w:rFonts w:ascii="Times New Roman" w:hAnsi="Times New Roman"/>
        </w:rPr>
        <w:t>Neu eingeübte Kompetenzen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Kompetenz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Bezug zu SS-2026-Fehlern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Streitstand § 444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FT2 Streitstandübersehung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387 BGB vollständig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FT3 fehlende Tatbestandsmerkmale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Gutachtenstil durchgehend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FT5 Stilfehler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Arglist und § 444 vs. § 242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FT1 Anspruchsgrundlage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Zeitplan</w:t>
      </w:r>
    </w:p>
    <w:p>
      <w:pPr>
        <w:pStyle w:val="ListBullet"/>
      </w:pPr>
      <w:r>
        <w:t>Klausur WS 2026/27: 19. November 2026</w:t>
      </w:r>
    </w:p>
    <w:p>
      <w:pPr>
        <w:pStyle w:val="ListBullet"/>
      </w:pPr>
      <w:r>
        <w:t>Korrekturabgabe: 15. Dezember 2026</w:t>
      </w:r>
    </w:p>
    <w:p>
      <w:pPr>
        <w:pStyle w:val="ListBullet"/>
      </w:pPr>
      <w:r>
        <w:t>Nachbesprechung: 20. Januar 2027</w:t>
      </w:r>
    </w:p>
    <w:p/>
    <w:p>
      <w:pPr>
        <w:jc w:val="left"/>
      </w:pPr>
      <w:r>
        <w:rPr>
          <w:i/>
        </w:rPr>
        <w:t>Erstellt: Dr. Hannes Tannenmoor, September 2026. Quelle: BGB §§ 323, 434, 437, 444 (dejure.org).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