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Musterklausur — Heike Wittfeldt (anonymisiert), 22 Punkte</w:t>
      </w:r>
    </w:p>
    <w:p>
      <w:pPr>
        <w:jc w:val="left"/>
      </w:pPr>
      <w:r>
        <w:rPr>
          <w:b/>
        </w:rPr>
        <w:t>Übung für Fortgeschrittene SS 2026 — Fall 14</w:t>
      </w:r>
    </w:p>
    <w:p>
      <w:pPr>
        <w:jc w:val="left"/>
      </w:pPr>
      <w:r>
        <w:rPr>
          <w:b/>
        </w:rPr>
        <w:t>Freigegeben zur Verwendung in der Nachbesprechung (Prof. Dr. Pohlmann-Wittfeldt, 12. Juni 2026)</w:t>
      </w:r>
    </w:p>
    <w:p>
      <w:pPr>
        <w:jc w:val="left"/>
      </w:pPr>
      <w:r>
        <w:rPr>
          <w:b/>
        </w:rPr>
        <w:t>Anonymisierung: Dr. Tannenmoor</w:t>
      </w:r>
    </w:p>
    <w:p/>
    <w:p>
      <w:pPr>
        <w:ind w:left="567"/>
      </w:pPr>
      <w:r>
        <w:rPr>
          <w:i/>
        </w:rPr>
        <w:t>Hinweis: Der folgende Text ist eine anonymisierte Wiedergabe der Klausur. Eigennamen und Matrikelnummer wurden entfernt. Die Klausur wird mit freundlicher Genehmigung der Klausurantin für Lehrzwecke verwendet.</w:t>
      </w:r>
    </w:p>
    <w:p/>
    <w:p>
      <w:pPr>
        <w:pStyle w:val="Heading2"/>
      </w:pPr>
      <w:r>
        <w:rPr>
          <w:rFonts w:ascii="Times New Roman" w:hAnsi="Times New Roman"/>
        </w:rPr>
        <w:t>Frage 1: Werklohnanspruch des K gegen G aus § 631 BGB</w:t>
      </w:r>
    </w:p>
    <w:p>
      <w:pPr>
        <w:jc w:val="left"/>
      </w:pPr>
      <w:r>
        <w:t>K könnte gegen G einen Anspruch auf Zahlung von 420 EUR aus § 631 Abs. 1 BGB haben.</w:t>
      </w:r>
    </w:p>
    <w:p>
      <w:pPr>
        <w:jc w:val="left"/>
      </w:pPr>
      <w:r>
        <w:rPr>
          <w:b/>
        </w:rPr>
        <w:t>I. Wirksamer Werkvertrag</w:t>
      </w:r>
    </w:p>
    <w:p>
      <w:pPr>
        <w:jc w:val="left"/>
      </w:pPr>
      <w:r>
        <w:t>Ein Werkvertrag kommt durch Angebot und Annahme zustande (§§ 145, 147 BGB). K und G haben sich am 3. März 2026 mündlich auf den Einbau des Radarwarngeräts gegen einen Preis von 420 EUR geeinigt. Ein Angebot des K (Werkerstellung gegen Vergütung) und eine Annahme des G liegen vor. Ein Werkvertrag i.S.d. § 631 BGB ist geschlossen.</w:t>
      </w:r>
    </w:p>
    <w:p>
      <w:pPr>
        <w:jc w:val="left"/>
      </w:pPr>
      <w:r>
        <w:rPr>
          <w:b/>
        </w:rPr>
        <w:t>II. Nichtigkeit nach § 134 BGB?</w:t>
      </w:r>
    </w:p>
    <w:p>
      <w:pPr>
        <w:jc w:val="left"/>
      </w:pPr>
      <w:r>
        <w:t>§ 134 BGB erklärt ein Rechtsgeschäft für nichtig, das gegen ein gesetzliches Verbot verstößt, sofern sich aus dem Gesetz nichts anderes ergibt.</w:t>
      </w:r>
    </w:p>
    <w:p>
      <w:pPr>
        <w:jc w:val="left"/>
      </w:pPr>
      <w:r>
        <w:rPr>
          <w:i/>
        </w:rPr>
        <w:t>Gesetzliches Verbot:</w:t>
      </w:r>
      <w:r>
        <w:t xml:space="preserve"> § 23 Abs. 1c StVO verbietet das Führen eines Kraftfahrzeugs, wenn der Fahrer ein Gerät benutzt, das dazu bestimmt ist, Verkehrsüberwachungsmaßnahmen anzuzeigen oder zu stören.</w:t>
      </w:r>
    </w:p>
    <w:p>
      <w:pPr>
        <w:jc w:val="left"/>
      </w:pPr>
      <w:r>
        <w:rPr>
          <w:i/>
        </w:rPr>
        <w:t>Ob der Einbauvertrag von diesem Verbot erfasst ist, ist umstritten.</w:t>
      </w:r>
    </w:p>
    <w:p>
      <w:pPr>
        <w:jc w:val="left"/>
      </w:pPr>
      <w:r>
        <w:rPr>
          <w:i/>
        </w:rPr>
        <w:t>Ansicht 1:</w:t>
      </w:r>
      <w:r>
        <w:t xml:space="preserve"> Das Verbot des § 23 StVO richtet sich zwar dem Wortlaut nach an den Nutzer; ein Vertrag, dessen einziger Zweck die Ermöglichung eines verbotenen Verhaltens ist, ist aber nach teleologischer Auslegung des § 134 BGB ebenfalls nichtig (vgl. Larenz, Methodenlehre, S. 343). Dafür spricht der Schutzzweck: Würde man Einbauverträge zulassen, wäre das Nutzungsverbot leicht zu umgehen.</w:t>
      </w:r>
    </w:p>
    <w:p>
      <w:pPr>
        <w:jc w:val="left"/>
      </w:pPr>
      <w:r>
        <w:rPr>
          <w:i/>
        </w:rPr>
        <w:t>Ansicht 2:</w:t>
      </w:r>
      <w:r>
        <w:t xml:space="preserve"> § 23 StVO ist eine ordnungsrechtliche Norm, die ausschließlich an den Fahrzeugführer adressiert ist. K übt eine handwerkliche Tätigkeit aus, die für sich genommen legal ist. Der Einbauvertrag ist nicht verboten; allenfalls die Nutzung. § 134 BGB erfasst nur unmittelbar verbotswidrige Rechtsgeschäfte (Medicus, BGB AT, Rn. 636).</w:t>
      </w:r>
    </w:p>
    <w:p>
      <w:pPr>
        <w:jc w:val="left"/>
      </w:pPr>
      <w:r>
        <w:rPr>
          <w:i/>
        </w:rPr>
        <w:t>Übertragbarkeit BGH VII ZR 235/15:</w:t>
      </w:r>
      <w:r>
        <w:t xml:space="preserve"> In BGH VII ZR 235/15 hat der BGH einen Werkvertrag bei beiderseitigem Verstoß gegen das SchwarzArbG für nichtig erklärt. Im vorliegenden Fall verstößt jedoch nur G gegen § 23 StVO; K verstößt durch den bloßen Einbau nicht selbst gegen das Verbot. Die strukturelle Voraussetzung des beiderseitigen Verstoßes, die der BGH in VII ZR 235/15 tragend zugrunde gelegt hat, ist hier nicht erfüllt. BGH VII ZR 235/15 ist daher nicht direkt anwendbar.</w:t>
      </w:r>
    </w:p>
    <w:p>
      <w:pPr>
        <w:jc w:val="left"/>
      </w:pPr>
      <w:r>
        <w:rPr>
          <w:i/>
        </w:rPr>
        <w:t>Eigene Stellungnahme:</w:t>
      </w:r>
      <w:r>
        <w:t xml:space="preserve"> Überzeugend ist Ansicht 2. § 23 StVO schützt die Verkehrssicherheit durch ein Verhaltensverbot, das sich an den Nutzer richtet. Eine Ausdehnung auf Einbauverträge würde den Wortlaut überdehnen und ist methodisch nicht zwingend geboten. K selbst handelt legal. Der Werkvertrag ist wirksam.</w:t>
      </w:r>
    </w:p>
    <w:p>
      <w:pPr>
        <w:jc w:val="left"/>
      </w:pPr>
      <w:r>
        <w:rPr>
          <w:b/>
        </w:rPr>
        <w:t>III. Ergebnis Frage 1</w:t>
      </w:r>
    </w:p>
    <w:p>
      <w:pPr>
        <w:jc w:val="left"/>
      </w:pPr>
      <w:r>
        <w:t>K hat einen Anspruch gegen G auf Zahlung von 420 EUR aus § 631 Abs. 1 BGB. § 134 BGB steht nicht entgegen.</w:t>
      </w:r>
    </w:p>
    <w:p/>
    <w:p>
      <w:pPr>
        <w:pStyle w:val="Heading2"/>
      </w:pPr>
      <w:r>
        <w:rPr>
          <w:rFonts w:ascii="Times New Roman" w:hAnsi="Times New Roman"/>
        </w:rPr>
        <w:t>Frage 2: Bereicherungsanspruch (Hilfsprüfung)</w:t>
      </w:r>
    </w:p>
    <w:p>
      <w:pPr>
        <w:jc w:val="left"/>
      </w:pPr>
      <w:r>
        <w:rPr>
          <w:i/>
        </w:rPr>
        <w:t>Da der Werkvertrag wirksam ist, ist Frage 2 nur hilfsweise zu prüfen, falls man mit Ansicht 1 die Nichtigkeit annimmt.</w:t>
      </w:r>
    </w:p>
    <w:p>
      <w:pPr>
        <w:jc w:val="left"/>
      </w:pPr>
      <w:r>
        <w:t>K könnte hilfsweise einen Anspruch aus § 812 Abs. 1 S. 1 Alt. 1 BGB haben.</w:t>
      </w:r>
    </w:p>
    <w:p>
      <w:pPr>
        <w:jc w:val="left"/>
      </w:pPr>
      <w:r>
        <w:t>G hat das eingebaute Radarwarngerät erlangt. Dies geschah durch Leistung des K (zweckgerichtete Zuwendung). Ohne wirksamen Vertrag fehlt ein Rechtsgrund.</w:t>
      </w:r>
    </w:p>
    <w:p>
      <w:pPr>
        <w:jc w:val="left"/>
      </w:pPr>
      <w:r>
        <w:rPr>
          <w:b/>
        </w:rPr>
        <w:t>§ 817 S. 2 BGB:</w:t>
      </w:r>
      <w:r>
        <w:t xml:space="preserve"> Gemäß § 817 S. 2 BGB ist die Rückforderung ausgeschlossen, wenn dem Leistenden selbst ein Verstoß gegen ein gesetzliches Verbot oder die guten Sitten zur Last fällt. K wusste, dass G das Gerät für die nach § 23 StVO verbotene Nutzung einsetzen wollte. K hat durch den Einbau bewusst an der Vorbereitung eines Verstoßes mitgewirkt. Damit fällt K selbst ein Verstoß im Sinne des § 817 S. 2 BGB zur Last. Der Bereicherungsanspruch ist gesperrt.</w:t>
      </w:r>
    </w:p>
    <w:p>
      <w:pPr>
        <w:jc w:val="left"/>
      </w:pPr>
      <w:r>
        <w:rPr>
          <w:b/>
        </w:rPr>
        <w:t>Ergebnis Frage 2:</w:t>
      </w:r>
      <w:r>
        <w:t xml:space="preserve"> K hat keinen Bereicherungsanspruch. § 817 S. 2 BGB sperrt.</w:t>
      </w:r>
    </w:p>
    <w:p/>
    <w:p>
      <w:pPr>
        <w:pStyle w:val="Heading2"/>
      </w:pPr>
      <w:r>
        <w:rPr>
          <w:rFonts w:ascii="Times New Roman" w:hAnsi="Times New Roman"/>
        </w:rPr>
        <w:t>Frage 3: Aufrechnung des G</w:t>
      </w:r>
    </w:p>
    <w:p>
      <w:pPr>
        <w:jc w:val="left"/>
      </w:pPr>
      <w:r>
        <w:t>G könnte wirksam die Aufrechnung erklären (§ 387 BGB).</w:t>
      </w:r>
    </w:p>
    <w:p>
      <w:pPr>
        <w:jc w:val="left"/>
      </w:pPr>
      <w:r>
        <w:rPr>
          <w:b/>
        </w:rPr>
        <w:t>Gegenseitigkeit:</w:t>
      </w:r>
      <w:r>
        <w:t xml:space="preserve"> K ist Gläubiger des G (Werklohn 420 EUR); G ist Gläubiger des K (Schadensersatz 150 EUR wegen Kratzers, § 280 Abs. 1 BGB). Beide sind Gläubiger des jeweils anderen. Gegenseitigkeit liegt vor.</w:t>
      </w:r>
    </w:p>
    <w:p>
      <w:pPr>
        <w:jc w:val="left"/>
      </w:pPr>
      <w:r>
        <w:rPr>
          <w:b/>
        </w:rPr>
        <w:t>Gleichartigkeit:</w:t>
      </w:r>
      <w:r>
        <w:t xml:space="preserve"> Beide Forderungen sind auf Geldzahlung gerichtet. Gleichartigkeit liegt vor.</w:t>
      </w:r>
    </w:p>
    <w:p>
      <w:pPr>
        <w:jc w:val="left"/>
      </w:pPr>
      <w:r>
        <w:rPr>
          <w:b/>
        </w:rPr>
        <w:t>Fälligkeit der Gegenforderung (§ 387 BGB):</w:t>
      </w:r>
      <w:r>
        <w:t xml:space="preserve"> Der Schadensersatzanspruch des G ist mit Entstehung des Schadens fällig. Der Kratzer ist unstreitig entstanden; Fälligkeit liegt vor.</w:t>
      </w:r>
    </w:p>
    <w:p>
      <w:pPr>
        <w:jc w:val="left"/>
      </w:pPr>
      <w:r>
        <w:rPr>
          <w:b/>
        </w:rPr>
        <w:t>Erfüllbarkeit der Hauptforderung:</w:t>
      </w:r>
      <w:r>
        <w:t xml:space="preserve"> Die Werklohnforderung des K ist nach § 641 BGB mit Abnahme fällig; das Fahrzeug wurde am 8. März 2026 abgeholt. Erfüllbarkeit liegt vor.</w:t>
      </w:r>
    </w:p>
    <w:p>
      <w:pPr>
        <w:jc w:val="left"/>
      </w:pPr>
      <w:r>
        <w:rPr>
          <w:b/>
        </w:rPr>
        <w:t>Aufrechnungserklärung:</w:t>
      </w:r>
      <w:r>
        <w:t xml:space="preserve"> G hat die Aufrechnung erklärt. Die Erklärung ist empfangsbedürftig (§ 388 S. 1 BGB); K hat sie erhalten.</w:t>
      </w:r>
    </w:p>
    <w:p>
      <w:pPr>
        <w:jc w:val="left"/>
      </w:pPr>
      <w:r>
        <w:rPr>
          <w:b/>
        </w:rPr>
        <w:t>Erlöschensfolge:</w:t>
      </w:r>
      <w:r>
        <w:t xml:space="preserve"> Die Forderungen erlöschen in Höhe der geringeren (150 EUR), § 389 BGB. K kann daher nur noch 420 EUR minus 150 EUR = </w:t>
      </w:r>
      <w:r>
        <w:rPr>
          <w:b/>
        </w:rPr>
        <w:t>270 EUR</w:t>
      </w:r>
      <w:r>
        <w:t xml:space="preserve"> verlangen.</w:t>
      </w:r>
    </w:p>
    <w:p/>
    <w:p>
      <w:pPr>
        <w:pStyle w:val="Heading2"/>
      </w:pPr>
      <w:r>
        <w:rPr>
          <w:rFonts w:ascii="Times New Roman" w:hAnsi="Times New Roman"/>
        </w:rPr>
        <w:t>Frage 4: Eigentumserwerb §§ 929 ff. BGB</w:t>
      </w:r>
    </w:p>
    <w:p>
      <w:pPr>
        <w:jc w:val="left"/>
      </w:pPr>
      <w:r>
        <w:rPr>
          <w:b/>
        </w:rPr>
        <w:t>Wesentlicher Bestandteil?</w:t>
      </w:r>
      <w:r>
        <w:t xml:space="preserve"> Gemäß § 93 BGB können wesentliche Bestandteile einer Sache nicht Gegenstand besonderer Rechte sein. Das Radarwarngerät ist in das Armaturenbrett eingebaut. Eine Trennung ist ohne Substanzverlust am Fahrzeug möglich. Kein wesentlicher Bestandteil.</w:t>
      </w:r>
    </w:p>
    <w:p>
      <w:pPr>
        <w:jc w:val="left"/>
      </w:pPr>
      <w:r>
        <w:rPr>
          <w:b/>
        </w:rPr>
        <w:t>Rechtsgeschäftlicher Eigentumserwerb nach § 929 BGB:</w:t>
      </w:r>
      <w:r>
        <w:t xml:space="preserve"> K und G haben sich im Rahmen des Werkvertrages über den Eigentumsübergang am Gerät geeinigt (konkludente dingliche Einigung). Das Gerät wurde durch den Einbau übergeben. K war Eigentümer (er hatte es bei H erworben). Die Voraussetzungen des § 929 S. 1 BGB sind erfüllt.</w:t>
      </w:r>
    </w:p>
    <w:p>
      <w:pPr>
        <w:jc w:val="left"/>
      </w:pPr>
      <w:r>
        <w:rPr>
          <w:b/>
        </w:rPr>
        <w:t>Abstraktionsprinzip:</w:t>
      </w:r>
      <w:r>
        <w:t xml:space="preserve"> Die dingliche Einigung ist unabhängig von der Wirksamkeit des zugrunde liegenden Kausalgeschäfts (Werkvertrag). Selbst wenn der Werkvertrag nichtig wäre, bliebe der Eigentumsübergang nach § 929 BGB wirksam, sofern keine Fehleridentität vorliegt und keine Bedingungsabrede getroffen wurde. Eine Bedingungsabrede ist hier nicht ersichtlich. G ist Eigentümer des Radarwarngeräts.</w:t>
      </w:r>
    </w:p>
    <w:p>
      <w:pPr>
        <w:jc w:val="left"/>
      </w:pPr>
      <w:r>
        <w:rPr>
          <w:b/>
        </w:rPr>
        <w:t>§ 951 BGB (Kondiktionsanspruch):</w:t>
      </w:r>
      <w:r>
        <w:t xml:space="preserve"> Bei Nichtigkeit des Werkvertrages könnte K einen Kondiktionsanspruch aus §§ 951, 812 BGB haben. Dieser scheitert jedoch an § 817 S. 2 BGB (s.o.).</w:t>
      </w:r>
    </w:p>
    <w:p>
      <w:pPr>
        <w:jc w:val="left"/>
      </w:pPr>
      <w:r>
        <w:rPr>
          <w:b/>
        </w:rPr>
        <w:t>Ergebnis Frage 4:</w:t>
      </w:r>
      <w:r>
        <w:t xml:space="preserve"> G hat das Eigentum am Radarwarngerät nach § 929 BGB erworben. K hat durch den Einbau das Eigentum verloren. Kein Kondiktionsanspruch wegen § 817 S. 2 BGB.</w:t>
      </w:r>
    </w:p>
    <w:p/>
    <w:p>
      <w:pPr>
        <w:pStyle w:val="Heading2"/>
      </w:pPr>
      <w:r>
        <w:rPr>
          <w:rFonts w:ascii="Times New Roman" w:hAnsi="Times New Roman"/>
        </w:rPr>
        <w:t>Gesamtergebnis</w:t>
      </w:r>
    </w:p>
    <w:p>
      <w:pPr>
        <w:jc w:val="left"/>
      </w:pPr>
      <w:r>
        <w:t>K kann von G 270 EUR (420 EUR Werklohn abzüglich 150 EUR Aufrechnung) verlangen.</w:t>
      </w:r>
    </w:p>
    <w:p/>
    <w:p>
      <w:pPr>
        <w:jc w:val="left"/>
      </w:pPr>
      <w:r>
        <w:rPr>
          <w:i/>
        </w:rPr>
        <w:t>[Korrekturnotiz Dr. Eichmann-Roosendaal: Musterklausur — § 951 BGB / § 817 S. 2 BGB-Verbindung fehlt; -3 Punkte. Ansonsten musterhaft.]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