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Feedback an Klausuranten — Übung für Fortgeschrittene SS 2026</w:t>
      </w:r>
    </w:p>
    <w:p>
      <w:pPr>
        <w:jc w:val="left"/>
      </w:pPr>
      <w:r>
        <w:rPr>
          <w:b/>
        </w:rPr>
        <w:t>Lehrstuhl Pohlmann-Wittfeldt</w:t>
      </w:r>
    </w:p>
    <w:p>
      <w:pPr>
        <w:jc w:val="left"/>
      </w:pPr>
      <w:r>
        <w:rPr>
          <w:b/>
        </w:rPr>
        <w:t>Ausgabe: 10. Juni 2026</w:t>
      </w:r>
    </w:p>
    <w:p/>
    <w:p>
      <w:pPr>
        <w:pStyle w:val="Heading2"/>
      </w:pPr>
      <w:r>
        <w:rPr>
          <w:rFonts w:ascii="Times New Roman" w:hAnsi="Times New Roman"/>
        </w:rPr>
        <w:t>Allgemeines Feedback (für alle Klausuranten)</w:t>
      </w:r>
    </w:p>
    <w:p>
      <w:pPr>
        <w:jc w:val="left"/>
      </w:pPr>
      <w:r>
        <w:t>Sehr geehrte Klausuranten,</w:t>
      </w:r>
    </w:p>
    <w:p>
      <w:pPr>
        <w:jc w:val="left"/>
      </w:pPr>
      <w:r>
        <w:t>die Korrekturen des Falls 14 (Radarwarner-Werkstattvertrag) sind abgeschlossen. Die Ergebnisse wurden Ihnen über das Prüfungssystem der Universität Bielefeld bekannt gegeben.</w:t>
      </w:r>
    </w:p>
    <w:p>
      <w:pPr>
        <w:jc w:val="left"/>
      </w:pPr>
      <w:r>
        <w:t>Nachfolgend erhalten Sie allgemeines Feedback sowie individuelle Hinweise.</w:t>
      </w:r>
    </w:p>
    <w:p/>
    <w:p>
      <w:pPr>
        <w:pStyle w:val="Heading2"/>
      </w:pPr>
      <w:r>
        <w:rPr>
          <w:rFonts w:ascii="Times New Roman" w:hAnsi="Times New Roman"/>
        </w:rPr>
        <w:t>Häufige Stärken</w:t>
      </w:r>
    </w:p>
    <w:p>
      <w:pPr>
        <w:pStyle w:val="ListBullet"/>
      </w:pPr>
      <w:r>
        <w:t>Die meisten Klausuranten haben den Werkvertrag (§ 631 BGB) korrekt identifiziert.</w:t>
      </w:r>
    </w:p>
    <w:p>
      <w:pPr>
        <w:pStyle w:val="ListBullet"/>
      </w:pPr>
      <w:r>
        <w:t>Die Struktur der Anspruchsprüfung war mehrheitlich vorhanden.</w:t>
      </w:r>
    </w:p>
    <w:p>
      <w:pPr>
        <w:pStyle w:val="ListBullet"/>
      </w:pPr>
      <w:r>
        <w:t>Bereicherungsrecht (§ 812 BGB) wurde in drei von fünf Klausuren korrekt eröffnet.</w:t>
      </w:r>
    </w:p>
    <w:p/>
    <w:p>
      <w:pPr>
        <w:pStyle w:val="Heading2"/>
      </w:pPr>
      <w:r>
        <w:rPr>
          <w:rFonts w:ascii="Times New Roman" w:hAnsi="Times New Roman"/>
        </w:rPr>
        <w:t>Häufige Schwächen</w:t>
      </w:r>
    </w:p>
    <w:p>
      <w:pPr>
        <w:jc w:val="left"/>
      </w:pPr>
      <w:r>
        <w:rPr>
          <w:b/>
        </w:rPr>
        <w:t>1. Streitstandmethodik</w:t>
      </w:r>
    </w:p>
    <w:p>
      <w:pPr>
        <w:jc w:val="left"/>
      </w:pPr>
      <w:r>
        <w:t>In vier von fünf Klausuren fehlte die vollständige Streitstanddarstellung zu Frage 1 (§ 134 BGB / § 23 StVO). Ein Streitstand enthält mindestens: (a) Darstellung zweier Meinungen, (b) Argumente für jede Meinung, (c) eigene Stellungnahme.</w:t>
      </w:r>
    </w:p>
    <w:p>
      <w:pPr>
        <w:jc w:val="left"/>
      </w:pPr>
      <w:r>
        <w:t>Die Kenntnis von BGH VII ZR 235/15 war nur bei einer Klausurantin vorhanden und wurde musterhaft eingesetzt.</w:t>
      </w:r>
    </w:p>
    <w:p>
      <w:pPr>
        <w:jc w:val="left"/>
      </w:pPr>
      <w:r>
        <w:rPr>
          <w:b/>
        </w:rPr>
        <w:t>2. § 817 S. 2 BGB</w:t>
      </w:r>
    </w:p>
    <w:p>
      <w:pPr>
        <w:jc w:val="left"/>
      </w:pPr>
      <w:r>
        <w:t>Die Sperrwirkung des § 817 S. 2 BGB wurde von drei Klausuranten vollständig übersehen. Diese Norm ist eine der zentralen Ausschlussnormen des Bereicherungsrechts und muss bei jeder Bereicherungsprüfung, bei der dem Leistenden ein Normverstoß vorgeworfen werden kann, erörtert werden.</w:t>
      </w:r>
    </w:p>
    <w:p>
      <w:pPr>
        <w:jc w:val="left"/>
      </w:pPr>
      <w:r>
        <w:rPr>
          <w:b/>
        </w:rPr>
        <w:t>3. Abstraktionsprinzip</w:t>
      </w:r>
    </w:p>
    <w:p>
      <w:pPr>
        <w:jc w:val="left"/>
      </w:pPr>
      <w:r>
        <w:t>Frage 4 zeigt, dass das Abstraktionsprinzip noch nicht sicher beherrscht wird. Merken Sie sich: Die Wirksamkeit des dinglichen Verfügungsgeschäfts (§ 929 BGB) ist grundsätzlich unabhängig von der Wirksamkeit des schuldrechtlichen Kausalgeschäfts (Werkvertrag). Ausnahme: ausdrückliche oder konkludente Bedingungsabrede.</w:t>
      </w:r>
    </w:p>
    <w:p/>
    <w:p>
      <w:pPr>
        <w:pStyle w:val="Heading2"/>
      </w:pPr>
      <w:r>
        <w:rPr>
          <w:rFonts w:ascii="Times New Roman" w:hAnsi="Times New Roman"/>
        </w:rPr>
        <w:t>Individuelles Feedback</w:t>
      </w:r>
    </w:p>
    <w:p>
      <w:pPr>
        <w:pStyle w:val="Heading3"/>
      </w:pPr>
      <w:r>
        <w:rPr>
          <w:rFonts w:ascii="Times New Roman" w:hAnsi="Times New Roman"/>
        </w:rPr>
        <w:t>Klara Eichmann</w:t>
      </w:r>
    </w:p>
    <w:p>
      <w:pPr>
        <w:jc w:val="left"/>
      </w:pPr>
      <w:r>
        <w:t>Ihre Klausur zeigt solides methodisches Grundwissen. Die Streitstanddarstellung war ansatzweise vorhanden, aber nicht vollständig. Bitte arbeiten Sie gezielt an der Argumentationstiefe. Empfehlung: Larenz, Methodenlehre, Kapitel 5 (Interessenabwägung und Streitstandentscheidung).</w:t>
      </w:r>
    </w:p>
    <w:p>
      <w:pPr>
        <w:pStyle w:val="Heading3"/>
      </w:pPr>
      <w:r>
        <w:rPr>
          <w:rFonts w:ascii="Times New Roman" w:hAnsi="Times New Roman"/>
        </w:rPr>
        <w:t>Sven Tannenfels</w:t>
      </w:r>
    </w:p>
    <w:p>
      <w:pPr>
        <w:jc w:val="left"/>
      </w:pPr>
      <w:r>
        <w:t>Sie haben den Werkvertrag und § 812 BGB korrekt angesteuert, aber § 817 S. 2 BGB nicht erkannt. Das ist der entscheidende Punkt in Frage 2. Bitte lesen Sie Medicus, BGB AT, Rn. 720–730. Der Streitstand zu § 134 BGB muss in der Folgeklausur vollständig dargestellt werden.</w:t>
      </w:r>
    </w:p>
    <w:p>
      <w:pPr>
        <w:pStyle w:val="Heading3"/>
      </w:pPr>
      <w:r>
        <w:rPr>
          <w:rFonts w:ascii="Times New Roman" w:hAnsi="Times New Roman"/>
        </w:rPr>
        <w:t>Andreas Roosendaal</w:t>
      </w:r>
    </w:p>
    <w:p>
      <w:pPr>
        <w:jc w:val="left"/>
      </w:pPr>
      <w:r>
        <w:t>Ihre Klausur weist grundlegende Stilprobleme auf. Der Gutachtenstil ist zwingend und wird von Ihnen durchgehend nicht eingehalten. Ich empfehle dringend den Besuch des Methodikseminars im WS 2026/27 sowie die Wiederholung der Grundlagen (Larenz, Methodenlehre, Kapitel 3: Gutachtenstil und Urteilsstil).</w:t>
      </w:r>
    </w:p>
    <w:p>
      <w:pPr>
        <w:pStyle w:val="Heading3"/>
      </w:pPr>
      <w:r>
        <w:rPr>
          <w:rFonts w:ascii="Times New Roman" w:hAnsi="Times New Roman"/>
        </w:rPr>
        <w:t>Heike Wittfeldt</w:t>
      </w:r>
    </w:p>
    <w:p>
      <w:pPr>
        <w:jc w:val="left"/>
      </w:pPr>
      <w:r>
        <w:t>Ihre Klausur ist methodisch exzellent und wird als anonymisierte Musterklausur für die Nachbesprechung verwendet. Die einzige Schwäche liegt in der fehlenden Verbindung von § 951 BGB und § 817 S. 2 BGB in Frage 4. Diese Verknüpfung ist fortgeschritten; für eine 25-Punkte-Klausur wäre sie erforderlich gewesen.</w:t>
      </w:r>
    </w:p>
    <w:p>
      <w:pPr>
        <w:pStyle w:val="Heading3"/>
      </w:pPr>
      <w:r>
        <w:rPr>
          <w:rFonts w:ascii="Times New Roman" w:hAnsi="Times New Roman"/>
        </w:rPr>
        <w:t>Konrad Birkenhain</w:t>
      </w:r>
    </w:p>
    <w:p>
      <w:pPr>
        <w:jc w:val="left"/>
      </w:pPr>
      <w:r>
        <w:t>Ihre Klausur weist auf grundlegende Methodenprobleme hin. Ich empfehle ein persönliches Gespräch. Bitte melden Sie sich per E-Mail zur Sprechstunde an. Die angekündigte Prüfungsanfechtung ist beim Prüfungsamt eingegangen und wird dort bearbeitet.</w:t>
      </w:r>
    </w:p>
    <w:p/>
    <w:p>
      <w:pPr>
        <w:pStyle w:val="Heading2"/>
      </w:pPr>
      <w:r>
        <w:rPr>
          <w:rFonts w:ascii="Times New Roman" w:hAnsi="Times New Roman"/>
        </w:rPr>
        <w:t>Nachbesprechung</w:t>
      </w:r>
    </w:p>
    <w:p>
      <w:pPr>
        <w:jc w:val="left"/>
      </w:pPr>
      <w:r>
        <w:rPr>
          <w:b/>
        </w:rPr>
        <w:t>Termin:</w:t>
      </w:r>
      <w:r>
        <w:t xml:space="preserve"> Mittwoch, 25. Juni 2026, 16:00 Uhr, Hörsaal 13, Universität Bielefeld.</w:t>
      </w:r>
    </w:p>
    <w:p>
      <w:pPr>
        <w:jc w:val="left"/>
      </w:pPr>
      <w:r>
        <w:t>Die Musterklausur (anonymisiert) wird ausgehändigt. Bringen Sie Ihre eigene Klausur mit.</w:t>
      </w:r>
    </w:p>
    <w:p>
      <w:pPr>
        <w:jc w:val="left"/>
      </w:pPr>
      <w:r>
        <w:rPr>
          <w:i/>
        </w:rPr>
        <w:t>Dr. Hannes Tannenmoor / Dr. Lasse Eichmann-Roosendaal</w:t>
      </w:r>
    </w:p>
    <w:p>
      <w:pPr>
        <w:jc w:val="left"/>
      </w:pPr>
      <w:r>
        <w:rPr>
          <w:i/>
        </w:rPr>
        <w:t>Lehrstuhl Prof. Dr. Eve Pohlmann-Wittfeldt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