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Leitlinien für die Übung WS 2026/27 — Konsequenzen aus SS 2026</w:t>
      </w:r>
    </w:p>
    <w:p>
      <w:pPr>
        <w:jc w:val="left"/>
      </w:pPr>
      <w:r>
        <w:rPr>
          <w:b/>
        </w:rPr>
        <w:t>Lehrstuhl Prof. Dr. Eve Pohlmann-Wittfeldt</w:t>
      </w:r>
    </w:p>
    <w:p>
      <w:pPr>
        <w:jc w:val="left"/>
      </w:pPr>
      <w:r>
        <w:rPr>
          <w:b/>
        </w:rPr>
        <w:t>Intern — erstellt: Dr. Hannes Tannenmoor, August 2026</w:t>
      </w:r>
    </w:p>
    <w:p/>
    <w:p>
      <w:pPr>
        <w:pStyle w:val="Heading2"/>
      </w:pPr>
      <w:r>
        <w:rPr>
          <w:rFonts w:ascii="Times New Roman" w:hAnsi="Times New Roman"/>
        </w:rPr>
        <w:t>Ausgangslage</w:t>
      </w:r>
    </w:p>
    <w:p>
      <w:pPr>
        <w:jc w:val="left"/>
      </w:pPr>
      <w:r>
        <w:t>Die Ergebnisse der Übung SS 2026 (Fall 14) zeigen deutliche Defizite in drei Bereichen:</w:t>
      </w:r>
    </w:p>
    <w:p>
      <w:pPr>
        <w:pStyle w:val="ListNumber"/>
      </w:pPr>
      <w:r>
        <w:t>Streitstandmethodik (vier von fünf Klausuranten)</w:t>
      </w:r>
    </w:p>
    <w:p>
      <w:pPr>
        <w:pStyle w:val="ListNumber"/>
      </w:pPr>
      <w:r>
        <w:t>Bereicherungsrecht §§ 812, 817 BGB (drei von fünf)</w:t>
      </w:r>
    </w:p>
    <w:p>
      <w:pPr>
        <w:pStyle w:val="ListNumber"/>
      </w:pPr>
      <w:r>
        <w:t>Sachenrechtliches Abstraktionsprinzip (drei von fünf)</w:t>
      </w:r>
    </w:p>
    <w:p>
      <w:pPr>
        <w:jc w:val="left"/>
      </w:pPr>
      <w:r>
        <w:t>Die Durchfallquote von 32 Prozent (Prüfungsamt PA-2026-S-1188) liegt über dem Durchschnitt der Vorjahre (ca. 22 Prozent).</w:t>
      </w:r>
    </w:p>
    <w:p/>
    <w:p>
      <w:pPr>
        <w:pStyle w:val="Heading2"/>
      </w:pPr>
      <w:r>
        <w:rPr>
          <w:rFonts w:ascii="Times New Roman" w:hAnsi="Times New Roman"/>
        </w:rPr>
        <w:t>Strukturelle Maßnahmen WS 2026/27</w:t>
      </w:r>
    </w:p>
    <w:p>
      <w:pPr>
        <w:pStyle w:val="Heading3"/>
      </w:pPr>
      <w:r>
        <w:rPr>
          <w:rFonts w:ascii="Times New Roman" w:hAnsi="Times New Roman"/>
        </w:rPr>
        <w:t>1. Neue Lehreinheit: Streitstandtechnik</w:t>
      </w:r>
    </w:p>
    <w:p>
      <w:pPr>
        <w:jc w:val="left"/>
      </w:pPr>
      <w:r>
        <w:rPr>
          <w:b/>
        </w:rPr>
        <w:t>Zeitpunkt:</w:t>
      </w:r>
      <w:r>
        <w:t xml:space="preserve"> Sitzung 3 (Oktober 2026)</w:t>
      </w:r>
    </w:p>
    <w:p>
      <w:pPr>
        <w:jc w:val="left"/>
      </w:pPr>
      <w:r>
        <w:rPr>
          <w:b/>
        </w:rPr>
        <w:t>Inhalt:</w:t>
      </w:r>
    </w:p>
    <w:p>
      <w:pPr>
        <w:pStyle w:val="ListBullet"/>
      </w:pPr>
      <w:r>
        <w:t>Wie erkennt man einen Streitstand?</w:t>
      </w:r>
    </w:p>
    <w:p>
      <w:pPr>
        <w:pStyle w:val="ListBullet"/>
      </w:pPr>
      <w:r>
        <w:t>Schema der Streitstanddarstellung: Ansicht 1 — Argumente — Ansicht 2 — Argumente — Stellungnahme.</w:t>
      </w:r>
    </w:p>
    <w:p>
      <w:pPr>
        <w:pStyle w:val="ListBullet"/>
      </w:pPr>
      <w:r>
        <w:t>Übungsaufgaben: Streitstand § 134 BGB, Streitstand § 138 BGB, Streitstand §§ 929/946 BGB.</w:t>
      </w:r>
    </w:p>
    <w:p>
      <w:pPr>
        <w:jc w:val="left"/>
      </w:pPr>
      <w:r>
        <w:rPr>
          <w:b/>
        </w:rPr>
        <w:t>Material:</w:t>
      </w:r>
      <w:r>
        <w:t xml:space="preserve"> Tannenmoor erstellt Arbeitsblatt "Streitstandskelette" (bis 30. September 2026).</w:t>
      </w:r>
    </w:p>
    <w:p>
      <w:pPr>
        <w:pStyle w:val="Heading3"/>
      </w:pPr>
      <w:r>
        <w:rPr>
          <w:rFonts w:ascii="Times New Roman" w:hAnsi="Times New Roman"/>
        </w:rPr>
        <w:t>2. Neue Lehreinheit: Bereicherungsrecht Vertiefung</w:t>
      </w:r>
    </w:p>
    <w:p>
      <w:pPr>
        <w:jc w:val="left"/>
      </w:pPr>
      <w:r>
        <w:rPr>
          <w:b/>
        </w:rPr>
        <w:t>Zeitpunkt:</w:t>
      </w:r>
      <w:r>
        <w:t xml:space="preserve"> Sitzung 7 (November 2026)</w:t>
      </w:r>
    </w:p>
    <w:p>
      <w:pPr>
        <w:jc w:val="left"/>
      </w:pPr>
      <w:r>
        <w:rPr>
          <w:b/>
        </w:rPr>
        <w:t>Inhalt:</w:t>
      </w:r>
    </w:p>
    <w:p>
      <w:pPr>
        <w:pStyle w:val="ListBullet"/>
      </w:pPr>
      <w:r>
        <w:t>§ 817 S. 2 BGB: Anwendungsbereich und Sperrwirkung.</w:t>
      </w:r>
    </w:p>
    <w:p>
      <w:pPr>
        <w:pStyle w:val="ListBullet"/>
      </w:pPr>
      <w:r>
        <w:t>Verhältnis § 817 S. 1 zu § 817 S. 2 BGB.</w:t>
      </w:r>
    </w:p>
    <w:p>
      <w:pPr>
        <w:pStyle w:val="ListBullet"/>
      </w:pPr>
      <w:r>
        <w:t>Praxisfälle: Schwarzarbeit, Sittenwidrigkeit, Ordnungswidrigkeit.</w:t>
      </w:r>
    </w:p>
    <w:p>
      <w:pPr>
        <w:jc w:val="left"/>
      </w:pPr>
      <w:r>
        <w:rPr>
          <w:b/>
        </w:rPr>
        <w:t>Referenz:</w:t>
      </w:r>
      <w:r>
        <w:t xml:space="preserve"> BGH VII ZR 235/15.</w:t>
      </w:r>
    </w:p>
    <w:p>
      <w:pPr>
        <w:pStyle w:val="Heading3"/>
      </w:pPr>
      <w:r>
        <w:rPr>
          <w:rFonts w:ascii="Times New Roman" w:hAnsi="Times New Roman"/>
        </w:rPr>
        <w:t>3. Sachenrecht-Repetitorium: Abstraktionsprinzip</w:t>
      </w:r>
    </w:p>
    <w:p>
      <w:pPr>
        <w:jc w:val="left"/>
      </w:pPr>
      <w:r>
        <w:rPr>
          <w:b/>
        </w:rPr>
        <w:t>Zeitpunkt:</w:t>
      </w:r>
      <w:r>
        <w:t xml:space="preserve"> Sitzung 9 (Dezember 2026)</w:t>
      </w:r>
    </w:p>
    <w:p>
      <w:pPr>
        <w:jc w:val="left"/>
      </w:pPr>
      <w:r>
        <w:rPr>
          <w:b/>
        </w:rPr>
        <w:t>Inhalt:</w:t>
      </w:r>
    </w:p>
    <w:p>
      <w:pPr>
        <w:pStyle w:val="ListBullet"/>
      </w:pPr>
      <w:r>
        <w:t>Trennung Verpflichtungs-/Verfügungsgeschäft.</w:t>
      </w:r>
    </w:p>
    <w:p>
      <w:pPr>
        <w:pStyle w:val="ListBullet"/>
      </w:pPr>
      <w:r>
        <w:t>§ 929 BGB vs. §§ 946, 947 BGB.</w:t>
      </w:r>
    </w:p>
    <w:p>
      <w:pPr>
        <w:pStyle w:val="ListBullet"/>
      </w:pPr>
      <w:r>
        <w:t>Kausalitätsfrage und Bedingungsabrede.</w:t>
      </w:r>
    </w:p>
    <w:p>
      <w:pPr>
        <w:jc w:val="left"/>
      </w:pPr>
      <w:r>
        <w:rPr>
          <w:b/>
        </w:rPr>
        <w:t>Material:</w:t>
      </w:r>
      <w:r>
        <w:t xml:space="preserve"> Tafelbild (vgl. </w:t>
      </w:r>
      <w:r>
        <w:t>jpg/tafelbild-anspruchspruefung.jpg</w:t>
      </w:r>
      <w:r>
        <w:t>).</w:t>
      </w:r>
    </w:p>
    <w:p/>
    <w:p>
      <w:pPr>
        <w:pStyle w:val="Heading2"/>
      </w:pPr>
      <w:r>
        <w:rPr>
          <w:rFonts w:ascii="Times New Roman" w:hAnsi="Times New Roman"/>
        </w:rPr>
        <w:t>Änderung der Fallgestaltung</w:t>
      </w:r>
    </w:p>
    <w:p>
      <w:pPr>
        <w:jc w:val="left"/>
      </w:pPr>
      <w:r>
        <w:t>Der Fall 14 (Radarwarner) wird im WS 2026/27 durch Fall 15 (Gebrauchtwagen, Paragraf 444 BGB) ersetzt. Der Wechsel stellt sicher, dass die Klausuranten keine konkreten Korrekturleitlinien aus dem SS 2026 verwenden können, und testet dieselben methodischen Kompetenzen in neuem Kontext.</w:t>
      </w:r>
    </w:p>
    <w:p/>
    <w:p>
      <w:pPr>
        <w:pStyle w:val="Heading2"/>
      </w:pPr>
      <w:r>
        <w:rPr>
          <w:rFonts w:ascii="Times New Roman" w:hAnsi="Times New Roman"/>
        </w:rPr>
        <w:t>Klausuranforderungen (unverändert)</w:t>
      </w:r>
    </w:p>
    <w:p>
      <w:pPr>
        <w:pStyle w:val="ListBullet"/>
      </w:pPr>
      <w:r>
        <w:t>Gutachtenstil ist zwingend.</w:t>
      </w:r>
    </w:p>
    <w:p>
      <w:pPr>
        <w:pStyle w:val="ListBullet"/>
      </w:pPr>
      <w:r>
        <w:t>Streitstand muss dargestellt werden.</w:t>
      </w:r>
    </w:p>
    <w:p>
      <w:pPr>
        <w:pStyle w:val="ListBullet"/>
      </w:pPr>
      <w:r>
        <w:t>Ergebnissätze am Ende jedes Abschnitts.</w:t>
      </w:r>
    </w:p>
    <w:p>
      <w:pPr>
        <w:pStyle w:val="ListBullet"/>
      </w:pPr>
      <w:r>
        <w:t>Hilfserwägungen nur bei Verneinung der Hauptfrage.</w:t>
      </w:r>
    </w:p>
    <w:p/>
    <w:p>
      <w:pPr>
        <w:pStyle w:val="Heading2"/>
      </w:pPr>
      <w:r>
        <w:rPr>
          <w:rFonts w:ascii="Times New Roman" w:hAnsi="Times New Roman"/>
        </w:rPr>
        <w:t>Qualitätssicherung</w:t>
      </w:r>
    </w:p>
    <w:p>
      <w:pPr>
        <w:jc w:val="left"/>
      </w:pPr>
      <w:r>
        <w:t>Dr. Eichmann-Roosendaal übernimmt die Qualitätssicherung für die Lehreinheiten 1 und 2. Ergebnisse werden Prof. Pohlmann-Wittfeldt bis 15. Oktober 2026 zur Freigabe vorgelegt.</w:t>
      </w:r>
    </w:p>
    <w:p/>
    <w:p>
      <w:pPr>
        <w:jc w:val="left"/>
      </w:pPr>
      <w:r>
        <w:rPr>
          <w:i/>
        </w:rPr>
        <w:t>Intern. Nicht zur Weitergabe an Klausuranten bis zur Freigabe durch Prof. Pohlmann-Wittfeldt.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