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Prüfungsamtsstatistik — Übung für Fortgeschrittene SS 2026</w:t>
      </w:r>
    </w:p>
    <w:p>
      <w:pPr>
        <w:jc w:val="left"/>
      </w:pPr>
      <w:r>
        <w:rPr>
          <w:b/>
        </w:rPr>
        <w:t>Prüfungsamt Universität Bielefeld</w:t>
      </w:r>
    </w:p>
    <w:p>
      <w:pPr>
        <w:jc w:val="left"/>
      </w:pPr>
      <w:r>
        <w:rPr>
          <w:b/>
        </w:rPr>
        <w:t>Az.: PA-2026-S-1188</w:t>
      </w:r>
    </w:p>
    <w:p>
      <w:pPr>
        <w:jc w:val="left"/>
      </w:pPr>
      <w:r>
        <w:rPr>
          <w:b/>
        </w:rPr>
        <w:t>Ausgestellt: 14. Juni 2026</w:t>
      </w:r>
    </w:p>
    <w:p/>
    <w:p>
      <w:pPr>
        <w:pStyle w:val="Heading2"/>
      </w:pPr>
      <w:r>
        <w:rPr>
          <w:rFonts w:ascii="Times New Roman" w:hAnsi="Times New Roman"/>
        </w:rPr>
        <w:t>Statistische 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Kennzahl</w:t>
            </w:r>
          </w:p>
        </w:tc>
        <w:tc>
          <w:tcPr>
            <w:tcW w:type="dxa" w:w="4536"/>
          </w:tcPr>
          <w:p>
            <w:r>
              <w:rPr>
                <w:rFonts w:ascii="Times New Roman" w:hAnsi="Times New Roman"/>
                <w:b/>
                <w:sz w:val="20"/>
              </w:rPr>
              <w:t>Wert</w:t>
            </w:r>
          </w:p>
        </w:tc>
      </w:tr>
      <w:tr>
        <w:tc>
          <w:tcPr>
            <w:tcW w:type="dxa" w:w="4536"/>
          </w:tcPr>
          <w:p>
            <w:r>
              <w:rPr>
                <w:rFonts w:ascii="Times New Roman" w:hAnsi="Times New Roman"/>
                <w:sz w:val="20"/>
              </w:rPr>
              <w:t>Angemeldete Klausuranten</w:t>
            </w:r>
          </w:p>
        </w:tc>
        <w:tc>
          <w:tcPr>
            <w:tcW w:type="dxa" w:w="4536"/>
          </w:tcPr>
          <w:p>
            <w:r>
              <w:rPr>
                <w:rFonts w:ascii="Times New Roman" w:hAnsi="Times New Roman"/>
                <w:sz w:val="20"/>
              </w:rPr>
              <w:t>25</w:t>
            </w:r>
          </w:p>
        </w:tc>
      </w:tr>
      <w:tr>
        <w:tc>
          <w:tcPr>
            <w:tcW w:type="dxa" w:w="4536"/>
          </w:tcPr>
          <w:p>
            <w:r>
              <w:rPr>
                <w:rFonts w:ascii="Times New Roman" w:hAnsi="Times New Roman"/>
                <w:sz w:val="20"/>
              </w:rPr>
              <w:t>Erschienene Klausuranten</w:t>
            </w:r>
          </w:p>
        </w:tc>
        <w:tc>
          <w:tcPr>
            <w:tcW w:type="dxa" w:w="4536"/>
          </w:tcPr>
          <w:p>
            <w:r>
              <w:rPr>
                <w:rFonts w:ascii="Times New Roman" w:hAnsi="Times New Roman"/>
                <w:sz w:val="20"/>
              </w:rPr>
              <w:t>22</w:t>
            </w:r>
          </w:p>
        </w:tc>
      </w:tr>
      <w:tr>
        <w:tc>
          <w:tcPr>
            <w:tcW w:type="dxa" w:w="4536"/>
          </w:tcPr>
          <w:p>
            <w:r>
              <w:rPr>
                <w:rFonts w:ascii="Times New Roman" w:hAnsi="Times New Roman"/>
                <w:sz w:val="20"/>
              </w:rPr>
              <w:t>Davon bestanden</w:t>
            </w:r>
          </w:p>
        </w:tc>
        <w:tc>
          <w:tcPr>
            <w:tcW w:type="dxa" w:w="4536"/>
          </w:tcPr>
          <w:p>
            <w:r>
              <w:rPr>
                <w:rFonts w:ascii="Times New Roman" w:hAnsi="Times New Roman"/>
                <w:sz w:val="20"/>
              </w:rPr>
              <w:t>15</w:t>
            </w:r>
          </w:p>
        </w:tc>
      </w:tr>
      <w:tr>
        <w:tc>
          <w:tcPr>
            <w:tcW w:type="dxa" w:w="4536"/>
          </w:tcPr>
          <w:p>
            <w:r>
              <w:rPr>
                <w:rFonts w:ascii="Times New Roman" w:hAnsi="Times New Roman"/>
                <w:sz w:val="20"/>
              </w:rPr>
              <w:t>Davon nicht bestanden</w:t>
            </w:r>
          </w:p>
        </w:tc>
        <w:tc>
          <w:tcPr>
            <w:tcW w:type="dxa" w:w="4536"/>
          </w:tcPr>
          <w:p>
            <w:r>
              <w:rPr>
                <w:rFonts w:ascii="Times New Roman" w:hAnsi="Times New Roman"/>
                <w:sz w:val="20"/>
              </w:rPr>
              <w:t>7</w:t>
            </w:r>
          </w:p>
        </w:tc>
      </w:tr>
      <w:tr>
        <w:tc>
          <w:tcPr>
            <w:tcW w:type="dxa" w:w="4536"/>
          </w:tcPr>
          <w:p>
            <w:r>
              <w:rPr>
                <w:rFonts w:ascii="Times New Roman" w:hAnsi="Times New Roman"/>
                <w:sz w:val="20"/>
              </w:rPr>
              <w:t>Durchfallquote</w:t>
            </w:r>
          </w:p>
        </w:tc>
        <w:tc>
          <w:tcPr>
            <w:tcW w:type="dxa" w:w="4536"/>
          </w:tcPr>
          <w:p>
            <w:r>
              <w:rPr>
                <w:rFonts w:ascii="Times New Roman" w:hAnsi="Times New Roman"/>
                <w:sz w:val="20"/>
              </w:rPr>
              <w:t>31,8 Prozent</w:t>
            </w:r>
          </w:p>
        </w:tc>
      </w:tr>
      <w:tr>
        <w:tc>
          <w:tcPr>
            <w:tcW w:type="dxa" w:w="4536"/>
          </w:tcPr>
          <w:p>
            <w:r>
              <w:rPr>
                <w:rFonts w:ascii="Times New Roman" w:hAnsi="Times New Roman"/>
                <w:sz w:val="20"/>
              </w:rPr>
              <w:t>Notendurchschnitt</w:t>
            </w:r>
          </w:p>
        </w:tc>
        <w:tc>
          <w:tcPr>
            <w:tcW w:type="dxa" w:w="4536"/>
          </w:tcPr>
          <w:p>
            <w:r>
              <w:rPr>
                <w:rFonts w:ascii="Times New Roman" w:hAnsi="Times New Roman"/>
                <w:sz w:val="20"/>
              </w:rPr>
              <w:t>3,2</w:t>
            </w:r>
          </w:p>
        </w:tc>
      </w:tr>
      <w:tr>
        <w:tc>
          <w:tcPr>
            <w:tcW w:type="dxa" w:w="4536"/>
          </w:tcPr>
          <w:p>
            <w:r>
              <w:rPr>
                <w:rFonts w:ascii="Times New Roman" w:hAnsi="Times New Roman"/>
                <w:sz w:val="20"/>
              </w:rPr>
              <w:t>Höchstpunktzahl</w:t>
            </w:r>
          </w:p>
        </w:tc>
        <w:tc>
          <w:tcPr>
            <w:tcW w:type="dxa" w:w="4536"/>
          </w:tcPr>
          <w:p>
            <w:r>
              <w:rPr>
                <w:rFonts w:ascii="Times New Roman" w:hAnsi="Times New Roman"/>
                <w:sz w:val="20"/>
              </w:rPr>
              <w:t>22 von 25</w:t>
            </w:r>
          </w:p>
        </w:tc>
      </w:tr>
      <w:tr>
        <w:tc>
          <w:tcPr>
            <w:tcW w:type="dxa" w:w="4536"/>
          </w:tcPr>
          <w:p>
            <w:r>
              <w:rPr>
                <w:rFonts w:ascii="Times New Roman" w:hAnsi="Times New Roman"/>
                <w:sz w:val="20"/>
              </w:rPr>
              <w:t>Niedrigstpunktzahl</w:t>
            </w:r>
          </w:p>
        </w:tc>
        <w:tc>
          <w:tcPr>
            <w:tcW w:type="dxa" w:w="4536"/>
          </w:tcPr>
          <w:p>
            <w:r>
              <w:rPr>
                <w:rFonts w:ascii="Times New Roman" w:hAnsi="Times New Roman"/>
                <w:sz w:val="20"/>
              </w:rPr>
              <w:t>4 von 25</w:t>
            </w:r>
          </w:p>
        </w:tc>
      </w:tr>
    </w:tbl>
    <w:p/>
    <w:p>
      <w:pPr>
        <w:pStyle w:val="Heading2"/>
      </w:pPr>
      <w:r>
        <w:rPr>
          <w:rFonts w:ascii="Times New Roman" w:hAnsi="Times New Roman"/>
        </w:rPr>
        <w:t>Notenverteilung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Notenbereich</w:t>
            </w:r>
          </w:p>
        </w:tc>
        <w:tc>
          <w:tcPr>
            <w:tcW w:type="dxa" w:w="4536"/>
          </w:tcPr>
          <w:p>
            <w:r>
              <w:rPr>
                <w:rFonts w:ascii="Times New Roman" w:hAnsi="Times New Roman"/>
                <w:b/>
                <w:sz w:val="20"/>
              </w:rPr>
              <w:t>Anzahl</w:t>
            </w:r>
          </w:p>
        </w:tc>
      </w:tr>
      <w:tr>
        <w:tc>
          <w:tcPr>
            <w:tcW w:type="dxa" w:w="4536"/>
          </w:tcPr>
          <w:p>
            <w:r>
              <w:rPr>
                <w:rFonts w:ascii="Times New Roman" w:hAnsi="Times New Roman"/>
                <w:sz w:val="20"/>
              </w:rPr>
              <w:t>1,0 bis 1,7</w:t>
            </w:r>
          </w:p>
        </w:tc>
        <w:tc>
          <w:tcPr>
            <w:tcW w:type="dxa" w:w="4536"/>
          </w:tcPr>
          <w:p>
            <w:r>
              <w:rPr>
                <w:rFonts w:ascii="Times New Roman" w:hAnsi="Times New Roman"/>
                <w:sz w:val="20"/>
              </w:rPr>
              <w:t>3</w:t>
            </w:r>
          </w:p>
        </w:tc>
      </w:tr>
      <w:tr>
        <w:tc>
          <w:tcPr>
            <w:tcW w:type="dxa" w:w="4536"/>
          </w:tcPr>
          <w:p>
            <w:r>
              <w:rPr>
                <w:rFonts w:ascii="Times New Roman" w:hAnsi="Times New Roman"/>
                <w:sz w:val="20"/>
              </w:rPr>
              <w:t>2,0 bis 2,7</w:t>
            </w:r>
          </w:p>
        </w:tc>
        <w:tc>
          <w:tcPr>
            <w:tcW w:type="dxa" w:w="4536"/>
          </w:tcPr>
          <w:p>
            <w:r>
              <w:rPr>
                <w:rFonts w:ascii="Times New Roman" w:hAnsi="Times New Roman"/>
                <w:sz w:val="20"/>
              </w:rPr>
              <w:t>4</w:t>
            </w:r>
          </w:p>
        </w:tc>
      </w:tr>
      <w:tr>
        <w:tc>
          <w:tcPr>
            <w:tcW w:type="dxa" w:w="4536"/>
          </w:tcPr>
          <w:p>
            <w:r>
              <w:rPr>
                <w:rFonts w:ascii="Times New Roman" w:hAnsi="Times New Roman"/>
                <w:sz w:val="20"/>
              </w:rPr>
              <w:t>3,0 bis 3,7</w:t>
            </w:r>
          </w:p>
        </w:tc>
        <w:tc>
          <w:tcPr>
            <w:tcW w:type="dxa" w:w="4536"/>
          </w:tcPr>
          <w:p>
            <w:r>
              <w:rPr>
                <w:rFonts w:ascii="Times New Roman" w:hAnsi="Times New Roman"/>
                <w:sz w:val="20"/>
              </w:rPr>
              <w:t>5</w:t>
            </w:r>
          </w:p>
        </w:tc>
      </w:tr>
      <w:tr>
        <w:tc>
          <w:tcPr>
            <w:tcW w:type="dxa" w:w="4536"/>
          </w:tcPr>
          <w:p>
            <w:r>
              <w:rPr>
                <w:rFonts w:ascii="Times New Roman" w:hAnsi="Times New Roman"/>
                <w:sz w:val="20"/>
              </w:rPr>
              <w:t>4,0</w:t>
            </w:r>
          </w:p>
        </w:tc>
        <w:tc>
          <w:tcPr>
            <w:tcW w:type="dxa" w:w="4536"/>
          </w:tcPr>
          <w:p>
            <w:r>
              <w:rPr>
                <w:rFonts w:ascii="Times New Roman" w:hAnsi="Times New Roman"/>
                <w:sz w:val="20"/>
              </w:rPr>
              <w:t>3</w:t>
            </w:r>
          </w:p>
        </w:tc>
      </w:tr>
      <w:tr>
        <w:tc>
          <w:tcPr>
            <w:tcW w:type="dxa" w:w="4536"/>
          </w:tcPr>
          <w:p>
            <w:r>
              <w:rPr>
                <w:rFonts w:ascii="Times New Roman" w:hAnsi="Times New Roman"/>
                <w:sz w:val="20"/>
              </w:rPr>
              <w:t>5,0 (nicht bestanden)</w:t>
            </w:r>
          </w:p>
        </w:tc>
        <w:tc>
          <w:tcPr>
            <w:tcW w:type="dxa" w:w="4536"/>
          </w:tcPr>
          <w:p>
            <w:r>
              <w:rPr>
                <w:rFonts w:ascii="Times New Roman" w:hAnsi="Times New Roman"/>
                <w:sz w:val="20"/>
              </w:rPr>
              <w:t>7</w:t>
            </w:r>
          </w:p>
        </w:tc>
      </w:tr>
    </w:tbl>
    <w:p/>
    <w:p>
      <w:pPr>
        <w:pStyle w:val="Heading2"/>
      </w:pPr>
      <w:r>
        <w:rPr>
          <w:rFonts w:ascii="Times New Roman" w:hAnsi="Times New Roman"/>
        </w:rPr>
        <w:t>Vergleich mit Vorjahren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Semester</w:t>
            </w:r>
          </w:p>
        </w:tc>
        <w:tc>
          <w:tcPr>
            <w:tcW w:type="dxa" w:w="3024"/>
          </w:tcPr>
          <w:p>
            <w:r>
              <w:rPr>
                <w:rFonts w:ascii="Times New Roman" w:hAnsi="Times New Roman"/>
                <w:b/>
                <w:sz w:val="20"/>
              </w:rPr>
              <w:t>Durchfallquote</w:t>
            </w:r>
          </w:p>
        </w:tc>
        <w:tc>
          <w:tcPr>
            <w:tcW w:type="dxa" w:w="3024"/>
          </w:tcPr>
          <w:p>
            <w:r>
              <w:rPr>
                <w:rFonts w:ascii="Times New Roman" w:hAnsi="Times New Roman"/>
                <w:b/>
                <w:sz w:val="20"/>
              </w:rPr>
              <w:t>Notendurchschnitt</w:t>
            </w:r>
          </w:p>
        </w:tc>
      </w:tr>
      <w:tr>
        <w:tc>
          <w:tcPr>
            <w:tcW w:type="dxa" w:w="3024"/>
          </w:tcPr>
          <w:p>
            <w:r>
              <w:rPr>
                <w:rFonts w:ascii="Times New Roman" w:hAnsi="Times New Roman"/>
                <w:sz w:val="20"/>
              </w:rPr>
              <w:t>SS 2023</w:t>
            </w:r>
          </w:p>
        </w:tc>
        <w:tc>
          <w:tcPr>
            <w:tcW w:type="dxa" w:w="3024"/>
          </w:tcPr>
          <w:p>
            <w:r>
              <w:rPr>
                <w:rFonts w:ascii="Times New Roman" w:hAnsi="Times New Roman"/>
                <w:sz w:val="20"/>
              </w:rPr>
              <w:t>18 Prozent</w:t>
            </w:r>
          </w:p>
        </w:tc>
        <w:tc>
          <w:tcPr>
            <w:tcW w:type="dxa" w:w="3024"/>
          </w:tcPr>
          <w:p>
            <w:r>
              <w:rPr>
                <w:rFonts w:ascii="Times New Roman" w:hAnsi="Times New Roman"/>
                <w:sz w:val="20"/>
              </w:rPr>
              <w:t>2,8</w:t>
            </w:r>
          </w:p>
        </w:tc>
      </w:tr>
      <w:tr>
        <w:tc>
          <w:tcPr>
            <w:tcW w:type="dxa" w:w="3024"/>
          </w:tcPr>
          <w:p>
            <w:r>
              <w:rPr>
                <w:rFonts w:ascii="Times New Roman" w:hAnsi="Times New Roman"/>
                <w:sz w:val="20"/>
              </w:rPr>
              <w:t>WS 2023/24</w:t>
            </w:r>
          </w:p>
        </w:tc>
        <w:tc>
          <w:tcPr>
            <w:tcW w:type="dxa" w:w="3024"/>
          </w:tcPr>
          <w:p>
            <w:r>
              <w:rPr>
                <w:rFonts w:ascii="Times New Roman" w:hAnsi="Times New Roman"/>
                <w:sz w:val="20"/>
              </w:rPr>
              <w:t>21 Prozent</w:t>
            </w:r>
          </w:p>
        </w:tc>
        <w:tc>
          <w:tcPr>
            <w:tcW w:type="dxa" w:w="3024"/>
          </w:tcPr>
          <w:p>
            <w:r>
              <w:rPr>
                <w:rFonts w:ascii="Times New Roman" w:hAnsi="Times New Roman"/>
                <w:sz w:val="20"/>
              </w:rPr>
              <w:t>3,0</w:t>
            </w:r>
          </w:p>
        </w:tc>
      </w:tr>
      <w:tr>
        <w:tc>
          <w:tcPr>
            <w:tcW w:type="dxa" w:w="3024"/>
          </w:tcPr>
          <w:p>
            <w:r>
              <w:rPr>
                <w:rFonts w:ascii="Times New Roman" w:hAnsi="Times New Roman"/>
                <w:sz w:val="20"/>
              </w:rPr>
              <w:t>SS 2024</w:t>
            </w:r>
          </w:p>
        </w:tc>
        <w:tc>
          <w:tcPr>
            <w:tcW w:type="dxa" w:w="3024"/>
          </w:tcPr>
          <w:p>
            <w:r>
              <w:rPr>
                <w:rFonts w:ascii="Times New Roman" w:hAnsi="Times New Roman"/>
                <w:sz w:val="20"/>
              </w:rPr>
              <w:t>22 Prozent</w:t>
            </w:r>
          </w:p>
        </w:tc>
        <w:tc>
          <w:tcPr>
            <w:tcW w:type="dxa" w:w="3024"/>
          </w:tcPr>
          <w:p>
            <w:r>
              <w:rPr>
                <w:rFonts w:ascii="Times New Roman" w:hAnsi="Times New Roman"/>
                <w:sz w:val="20"/>
              </w:rPr>
              <w:t>2,9</w:t>
            </w:r>
          </w:p>
        </w:tc>
      </w:tr>
      <w:tr>
        <w:tc>
          <w:tcPr>
            <w:tcW w:type="dxa" w:w="3024"/>
          </w:tcPr>
          <w:p>
            <w:r>
              <w:rPr>
                <w:rFonts w:ascii="Times New Roman" w:hAnsi="Times New Roman"/>
                <w:sz w:val="20"/>
              </w:rPr>
              <w:t>WS 2024/25</w:t>
            </w:r>
          </w:p>
        </w:tc>
        <w:tc>
          <w:tcPr>
            <w:tcW w:type="dxa" w:w="3024"/>
          </w:tcPr>
          <w:p>
            <w:r>
              <w:rPr>
                <w:rFonts w:ascii="Times New Roman" w:hAnsi="Times New Roman"/>
                <w:sz w:val="20"/>
              </w:rPr>
              <w:t>19 Prozent</w:t>
            </w:r>
          </w:p>
        </w:tc>
        <w:tc>
          <w:tcPr>
            <w:tcW w:type="dxa" w:w="3024"/>
          </w:tcPr>
          <w:p>
            <w:r>
              <w:rPr>
                <w:rFonts w:ascii="Times New Roman" w:hAnsi="Times New Roman"/>
                <w:sz w:val="20"/>
              </w:rPr>
              <w:t>2,8</w:t>
            </w:r>
          </w:p>
        </w:tc>
      </w:tr>
      <w:tr>
        <w:tc>
          <w:tcPr>
            <w:tcW w:type="dxa" w:w="3024"/>
          </w:tcPr>
          <w:p>
            <w:r>
              <w:rPr>
                <w:rFonts w:ascii="Times New Roman" w:hAnsi="Times New Roman"/>
                <w:sz w:val="20"/>
              </w:rPr>
              <w:t>SS 2025</w:t>
            </w:r>
          </w:p>
        </w:tc>
        <w:tc>
          <w:tcPr>
            <w:tcW w:type="dxa" w:w="3024"/>
          </w:tcPr>
          <w:p>
            <w:r>
              <w:rPr>
                <w:rFonts w:ascii="Times New Roman" w:hAnsi="Times New Roman"/>
                <w:sz w:val="20"/>
              </w:rPr>
              <w:t>24 Prozent</w:t>
            </w:r>
          </w:p>
        </w:tc>
        <w:tc>
          <w:tcPr>
            <w:tcW w:type="dxa" w:w="3024"/>
          </w:tcPr>
          <w:p>
            <w:r>
              <w:rPr>
                <w:rFonts w:ascii="Times New Roman" w:hAnsi="Times New Roman"/>
                <w:sz w:val="20"/>
              </w:rPr>
              <w:t>3,1</w:t>
            </w:r>
          </w:p>
        </w:tc>
      </w:tr>
      <w:tr>
        <w:tc>
          <w:tcPr>
            <w:tcW w:type="dxa" w:w="3024"/>
          </w:tcPr>
          <w:p>
            <w:r>
              <w:rPr>
                <w:rFonts w:ascii="Times New Roman" w:hAnsi="Times New Roman"/>
                <w:sz w:val="20"/>
              </w:rPr>
              <w:t>SS 2026</w:t>
            </w:r>
          </w:p>
        </w:tc>
        <w:tc>
          <w:tcPr>
            <w:tcW w:type="dxa" w:w="3024"/>
          </w:tcPr>
          <w:p>
            <w:r>
              <w:rPr>
                <w:rFonts w:ascii="Times New Roman" w:hAnsi="Times New Roman"/>
                <w:sz w:val="20"/>
              </w:rPr>
              <w:t>32 Prozent</w:t>
            </w:r>
          </w:p>
        </w:tc>
        <w:tc>
          <w:tcPr>
            <w:tcW w:type="dxa" w:w="3024"/>
          </w:tcPr>
          <w:p>
            <w:r>
              <w:rPr>
                <w:rFonts w:ascii="Times New Roman" w:hAnsi="Times New Roman"/>
                <w:sz w:val="20"/>
              </w:rPr>
              <w:t>3,2</w:t>
            </w:r>
          </w:p>
        </w:tc>
      </w:tr>
    </w:tbl>
    <w:p>
      <w:pPr>
        <w:jc w:val="left"/>
      </w:pPr>
      <w:r>
        <w:t>Der Anstieg der Durchfallquote auf 32 Prozent in SS 2026 ist statistisch auffällig. Die Prüfungsaufsicht hat das Prüfungsamt gebeten, eine Stellungnahme des Lehrstuhls einzuholen (Frist: 30. Juli 2026).</w:t>
      </w:r>
    </w:p>
    <w:p/>
    <w:p>
      <w:pPr>
        <w:pStyle w:val="Heading2"/>
      </w:pPr>
      <w:r>
        <w:rPr>
          <w:rFonts w:ascii="Times New Roman" w:hAnsi="Times New Roman"/>
        </w:rPr>
        <w:t>Anfechtungen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Az.</w:t>
            </w:r>
          </w:p>
        </w:tc>
        <w:tc>
          <w:tcPr>
            <w:tcW w:type="dxa" w:w="2268"/>
          </w:tcPr>
          <w:p>
            <w:r>
              <w:rPr>
                <w:rFonts w:ascii="Times New Roman" w:hAnsi="Times New Roman"/>
                <w:b/>
                <w:sz w:val="20"/>
              </w:rPr>
              <w:t>Klausurant</w:t>
            </w:r>
          </w:p>
        </w:tc>
        <w:tc>
          <w:tcPr>
            <w:tcW w:type="dxa" w:w="2268"/>
          </w:tcPr>
          <w:p>
            <w:r>
              <w:rPr>
                <w:rFonts w:ascii="Times New Roman" w:hAnsi="Times New Roman"/>
                <w:b/>
                <w:sz w:val="20"/>
              </w:rPr>
              <w:t>Datum</w:t>
            </w:r>
          </w:p>
        </w:tc>
        <w:tc>
          <w:tcPr>
            <w:tcW w:type="dxa" w:w="2268"/>
          </w:tcPr>
          <w:p>
            <w:r>
              <w:rPr>
                <w:rFonts w:ascii="Times New Roman" w:hAnsi="Times New Roman"/>
                <w:b/>
                <w:sz w:val="20"/>
              </w:rPr>
              <w:t>Status</w:t>
            </w:r>
          </w:p>
        </w:tc>
      </w:tr>
      <w:tr>
        <w:tc>
          <w:tcPr>
            <w:tcW w:type="dxa" w:w="2268"/>
          </w:tcPr>
          <w:p>
            <w:r>
              <w:rPr>
                <w:rFonts w:ascii="Times New Roman" w:hAnsi="Times New Roman"/>
                <w:sz w:val="20"/>
              </w:rPr>
              <w:t>PA-2026-S-1188</w:t>
            </w:r>
          </w:p>
        </w:tc>
        <w:tc>
          <w:tcPr>
            <w:tcW w:type="dxa" w:w="2268"/>
          </w:tcPr>
          <w:p>
            <w:r>
              <w:rPr>
                <w:rFonts w:ascii="Times New Roman" w:hAnsi="Times New Roman"/>
                <w:sz w:val="20"/>
              </w:rPr>
              <w:t>Konrad Birkenhain</w:t>
            </w:r>
          </w:p>
        </w:tc>
        <w:tc>
          <w:tcPr>
            <w:tcW w:type="dxa" w:w="2268"/>
          </w:tcPr>
          <w:p>
            <w:r>
              <w:rPr>
                <w:rFonts w:ascii="Times New Roman" w:hAnsi="Times New Roman"/>
                <w:sz w:val="20"/>
              </w:rPr>
              <w:t>15. Juni 2026</w:t>
            </w:r>
          </w:p>
        </w:tc>
        <w:tc>
          <w:tcPr>
            <w:tcW w:type="dxa" w:w="2268"/>
          </w:tcPr>
          <w:p>
            <w:r>
              <w:rPr>
                <w:rFonts w:ascii="Times New Roman" w:hAnsi="Times New Roman"/>
                <w:sz w:val="20"/>
              </w:rPr>
              <w:t>In Bearbeitung; Drittkorrektur angeordnet</w:t>
            </w:r>
          </w:p>
        </w:tc>
      </w:tr>
    </w:tbl>
    <w:p>
      <w:pPr>
        <w:jc w:val="left"/>
      </w:pPr>
      <w:r>
        <w:t>Keine weiteren Anfechtungen eingegangen.</w:t>
      </w:r>
    </w:p>
    <w:p/>
    <w:p>
      <w:pPr>
        <w:pStyle w:val="Heading2"/>
      </w:pPr>
      <w:r>
        <w:rPr>
          <w:rFonts w:ascii="Times New Roman" w:hAnsi="Times New Roman"/>
        </w:rPr>
        <w:t>Stellungnahme Prüfungsamt (Auszug)</w:t>
      </w:r>
    </w:p>
    <w:p>
      <w:pPr>
        <w:jc w:val="left"/>
      </w:pPr>
      <w:r>
        <w:t>"Der Anstieg der Durchfallquote in SS 2026 liegt innerhalb des statistisch tolerierten Bereichs, überschreitet jedoch den Schwellenwert von 30 Prozent, ab dem eine qualitative Prüfung der Aufgabenstellung und der Korrekturnormen zu erfolgen hat. Wir bitten den Lehrstuhl um Stellungnahme bis 30. Juli 2026.</w:t>
      </w:r>
    </w:p>
    <w:p>
      <w:pPr>
        <w:jc w:val="left"/>
      </w:pPr>
      <w:r>
        <w:t>Eine Parallele zu den Ergebnissen im Sachenrecht-Modul WS 2025/26 (Durchfall 28 Prozent) legt nahe, dass die Grundkenntnisse im Bereich §§ 929 ff. BGB und Abstraktionsprinzip systematisch unzureichend sind."</w:t>
      </w:r>
    </w:p>
    <w:p>
      <w:pPr>
        <w:jc w:val="left"/>
      </w:pPr>
      <w:r>
        <w:t>Bearbeiterin: Sachbearbeiterin Klothilde Westerburg-Heinze, Prüfungsamt, Universität Bielefeld.</w:t>
      </w:r>
    </w:p>
    <w:p/>
    <w:p>
      <w:pPr>
        <w:pStyle w:val="Heading2"/>
      </w:pPr>
      <w:r>
        <w:rPr>
          <w:rFonts w:ascii="Times New Roman" w:hAnsi="Times New Roman"/>
        </w:rPr>
        <w:t>Reaktion Lehrstuhl</w:t>
      </w:r>
    </w:p>
    <w:p>
      <w:pPr>
        <w:jc w:val="left"/>
      </w:pPr>
      <w:r>
        <w:t>Prof. Dr. Pohlmann-Wittfeldt hat am 25. Juli 2026 eine schriftliche Stellungnahme an das Prüfungsamt gesandt. Kernaussage:</w:t>
      </w:r>
    </w:p>
    <w:p>
      <w:pPr>
        <w:jc w:val="left"/>
      </w:pPr>
      <w:r>
        <w:t>"Die Aufgabenstellung entsprach dem Niveau einer Übung für Fortgeschrittene im dritten Studienjahr. Die Nichtigkeit nach § 134 BGB und der Streitstand zur Reichweite bei einseitigem Normverstoß sind Standardprüfungsstoff. Die erhöhte Durchfallquote ist auf Defizite in der Methodenausbildung zurückzuführen, nicht auf eine unverhältnismäßige Schwierigkeit des Falls. Der Lehrstuhl hat strukturelle Maßnahmen für WS 2026/27 ergriffen."</w:t>
      </w:r>
    </w:p>
    <w:p/>
    <w:p>
      <w:pPr>
        <w:jc w:val="left"/>
      </w:pPr>
      <w:r>
        <w:rPr>
          <w:i/>
        </w:rPr>
        <w:t>Quelle: Prüfungsamt Universität Bielefeld, Az. PA-2026-S-1188. Intern.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