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Versionierung: Übersicht v18 bis v23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10. Januar 2026</w:t>
      </w:r>
    </w:p>
    <w:p/>
    <w:p>
      <w:pPr>
        <w:pStyle w:val="Heading2"/>
      </w:pPr>
      <w:r>
        <w:rPr>
          <w:rFonts w:ascii="Times New Roman" w:hAnsi="Times New Roman"/>
        </w:rPr>
        <w:t>Versionshistorie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Bearbeiter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Hauptänderung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 beim WP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14.08.2025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Pellbach-Roosendaal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Erstmodell nach Krisendiagnose; Basisparameter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Zur Prüfung eingereicht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Pellbach-Roosendaal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Personalplan aktualisiert (Abfindungen Q4 2025 eingefügt)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Zurückgewiesen: Bilanzsumme nicht ausgeglichen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Pellbach-Roosendaal + ext. Berater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Bilanzsummenformel korrigiert; Kapex-Plan überarbeitet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Vorläufig akzeptiert, WP-Vorbehalt Zinslast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07.10.2025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Pellbach-Roosendaal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Sanierungsmaßnahmen konkretisiert; Umsatzplan 2027 angehoben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 Review Birkholz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28.11.2025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Pellbach-Roosendaal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Zinssatz Kontokorrent 6,2 % (marktkonform); Stress-Notiz eingefügt (ohne Berechnung)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Letzte akzeptierte Basis WP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Pellbach-Roosendaal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Zinssatz auf 4,9 % reduziert (Finding 4); Zusammenfassung optisch überarbeitet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Versagung angedroht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Kritischer Befund: Versionsvergleich v22 → v23</w:t>
      </w:r>
    </w:p>
    <w:p>
      <w:pPr>
        <w:jc w:val="left"/>
      </w:pPr>
      <w:r>
        <w:rPr>
          <w:b/>
        </w:rPr>
        <w:t>Finding 4</w:t>
      </w:r>
      <w:r>
        <w:t xml:space="preserve"> basiert auf folgendem Versionsvergleich: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Blatt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Wert v22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Wert v23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Delta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ZS!B5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ZINS-SCHULDEN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6,20 %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4,90 %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–1,30 Pp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ZS!C5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ZINS-SCHULDEN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Formel: =PARAM!B12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Hardcoded: 0,049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Formel entfernt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PARAM!B12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6,20 %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6,20 %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unverändert</w:t>
            </w:r>
          </w:p>
        </w:tc>
      </w:tr>
    </w:tbl>
    <w:p>
      <w:pPr>
        <w:jc w:val="left"/>
      </w:pPr>
      <w:r>
        <w:t>Die Zinssatzänderung wurde nicht durch eine geänderte Parameterannahme in PARAM vorgenommen, sondern durch direktes Überschreiben der Formel mit einem Hardcoded-Wert in ZS!C5. Dies entkoppelt den Zinssatz von der zentralen Parametersteuerung und ist nicht im offiziellen Änderungsprotokoll dokumentiert.</w:t>
      </w:r>
    </w:p>
    <w:p>
      <w:pPr>
        <w:jc w:val="left"/>
      </w:pPr>
      <w:r>
        <w:rPr>
          <w:b/>
        </w:rPr>
        <w:t>Auswirkung:</w:t>
      </w:r>
      <w:r>
        <w:t xml:space="preserve"> Zinsaufwand 2026–2027 im Modell v23 um ca. 186 TEUR zu niedrig ausgewiesen. Bei Korrektur auf 6,2 % ergibt sich kumulativ ein um 186 TEUR schlechteres Liquiditätsergebnis.</w:t>
      </w:r>
    </w:p>
    <w:p/>
    <w:p>
      <w:pPr>
        <w:pStyle w:val="Heading2"/>
      </w:pPr>
      <w:r>
        <w:rPr>
          <w:rFonts w:ascii="Times New Roman" w:hAnsi="Times New Roman"/>
        </w:rPr>
        <w:t>Manipulationsverdacht</w:t>
      </w:r>
    </w:p>
    <w:p>
      <w:pPr>
        <w:jc w:val="left"/>
      </w:pPr>
      <w:r>
        <w:t>Der Reviewer hält fest:</w:t>
      </w:r>
    </w:p>
    <w:p>
      <w:pPr>
        <w:pStyle w:val="ListNumber"/>
      </w:pPr>
      <w:r>
        <w:t>Die Zinssatzabsenkung in v23 bewirkt, dass das Modell ein knappes positives Fortbestehensergebnis zeigt (+418 TEUR).</w:t>
      </w:r>
    </w:p>
    <w:p>
      <w:pPr>
        <w:pStyle w:val="ListNumber"/>
      </w:pPr>
      <w:r>
        <w:t>Bei Korrektur auf v22-Zinssatz (6,2 %) reduziert sich der Überschuss auf ca. +232 TEUR.</w:t>
      </w:r>
    </w:p>
    <w:p>
      <w:pPr>
        <w:pStyle w:val="ListNumber"/>
      </w:pPr>
      <w:r>
        <w:t>In Kombination mit den Korrekturen aus Finding 1 (Zirkularität) und Finding 5 (Doppelbuchung Rückstellung, –145 TEUR) würde das Modell in den negativen Bereich kippen (ca. –89 TEUR kumuliert 2026–2027).</w:t>
      </w:r>
    </w:p>
    <w:p>
      <w:pPr>
        <w:pStyle w:val="ListNumber"/>
      </w:pPr>
      <w:r>
        <w:t>Die Kombination aus entkoppelter Formel und nicht dokumentierter Änderung begründet einen hinreichenden Anfangsverdacht auf bewusste Ergebnismanipulation im Modell.</w:t>
      </w:r>
    </w:p>
    <w:p>
      <w:pPr>
        <w:jc w:val="left"/>
      </w:pPr>
      <w:r>
        <w:rPr>
          <w:b/>
        </w:rPr>
        <w:t>Rechtliche Einordnung:</w:t>
      </w:r>
      <w:r>
        <w:t xml:space="preserve"> § 283b StGB (Verletzung der Buchführungspflicht), ggf. § 283 StGB (Bankrott), abrufbar unter https://dejure.org/gesetze/StGB/283b.html und https://dejure.org/gesetze/StGB/283.html.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Der Reviewer empfiehlt:</w:t>
      </w:r>
    </w:p>
    <w:p>
      <w:pPr>
        <w:pStyle w:val="ListBullet"/>
      </w:pPr>
      <w:r>
        <w:t>Alle Versionen v18–v23 zu sichern und die Revisionskette lückenlos zu dokumentieren.</w:t>
      </w:r>
    </w:p>
    <w:p>
      <w:pPr>
        <w:pStyle w:val="ListBullet"/>
      </w:pPr>
      <w:r>
        <w:t>Ein externes strafrechtliches Gutachten zur Bewertung des Manipulationsverdachts einzuholen.</w:t>
      </w:r>
    </w:p>
    <w:p>
      <w:pPr>
        <w:pStyle w:val="ListBullet"/>
      </w:pPr>
      <w:r>
        <w:t>Das Modell v23 in dieser Form nicht als Grundlage für den Jahresabschluss 2025 oder den Sanierungskreditantrag zu verwenden.</w:t>
      </w:r>
    </w:p>
    <w:p>
      <w:pPr>
        <w:jc w:val="left"/>
      </w:pPr>
      <w:r>
        <w:rPr>
          <w:b/>
        </w:rPr>
        <w:t>Quellen:</w:t>
      </w:r>
      <w:r>
        <w:t xml:space="preserve"> HGB § 252 (Going-Concern): https://dejure.org/gesetze/HGB/252.html; StGB §§ 283, 283b: https://dejure.org/gesetze/StGB/283.html.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