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Review-Achse 1: Konsistenz / Querbezüge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10./11. Januar 2026</w:t>
      </w:r>
    </w:p>
    <w:p>
      <w:pPr>
        <w:jc w:val="left"/>
      </w:pPr>
      <w:r>
        <w:rPr>
          <w:b/>
        </w:rPr>
        <w:t>Prüfer:</w:t>
      </w:r>
      <w:r>
        <w:t xml:space="preserve"> Karsten Federkamp (unter Aufsicht Dr. Wittfeldt-Steinheim)</w:t>
      </w:r>
    </w:p>
    <w:p/>
    <w:p>
      <w:pPr>
        <w:pStyle w:val="Heading2"/>
      </w:pPr>
      <w:r>
        <w:rPr>
          <w:rFonts w:ascii="Times New Roman" w:hAnsi="Times New Roman"/>
        </w:rPr>
        <w:t>Prüfgegenstand</w:t>
      </w:r>
    </w:p>
    <w:p>
      <w:pPr>
        <w:jc w:val="left"/>
      </w:pPr>
      <w:r>
        <w:t>Die Konsistenzprüfung untersucht, ob alle blattübergreifenden Verknüpfungen korrekt, vollständig und nachvollziehbar sind. Insbesondere:</w:t>
      </w:r>
    </w:p>
    <w:p>
      <w:pPr>
        <w:pStyle w:val="ListBullet"/>
      </w:pPr>
      <w:r>
        <w:t>Stimmen Zellbezüge zwischen Eingangsblättern und Rechenblättern?</w:t>
      </w:r>
    </w:p>
    <w:p>
      <w:pPr>
        <w:pStyle w:val="ListBullet"/>
      </w:pPr>
      <w:r>
        <w:t>Sind alle Aggregationen (Summen, Verweise) korrekt?</w:t>
      </w:r>
    </w:p>
    <w:p>
      <w:pPr>
        <w:pStyle w:val="ListBullet"/>
      </w:pPr>
      <w:r>
        <w:t>Werden Korrekturen in PARAM automatisch in alle nachgelagerten Blätter übertragen?</w:t>
      </w:r>
    </w:p>
    <w:p>
      <w:pPr>
        <w:pStyle w:val="ListBullet"/>
      </w:pPr>
      <w:r>
        <w:t>Gibt es Blattbrüche (Blätter mit veralteten, manuell überschriebenen Werten)?</w:t>
      </w:r>
    </w:p>
    <w:p/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jc w:val="left"/>
      </w:pPr>
      <w:r>
        <w:t>Der Reviewer hat folgende Konsistenzprüfmethodik angewendet:</w:t>
      </w:r>
    </w:p>
    <w:p>
      <w:pPr>
        <w:pStyle w:val="ListNumber"/>
      </w:pPr>
      <w:r>
        <w:rPr>
          <w:b/>
        </w:rPr>
        <w:t>Formel-Audit-Tool:</w:t>
      </w:r>
      <w:r>
        <w:t xml:space="preserve"> Excel-interne Formelüberwachung (Spurpfeile, Formelprüfung) systematisch für alle Rechenblätter durchgeführt.</w:t>
      </w:r>
    </w:p>
    <w:p>
      <w:pPr>
        <w:pStyle w:val="ListNumber"/>
      </w:pPr>
      <w:r>
        <w:rPr>
          <w:b/>
        </w:rPr>
        <w:t>Benchmark-Check:</w:t>
      </w:r>
      <w:r>
        <w:t xml:space="preserve"> Saldenbilanz-Abstimmung: IST-GuV-Summen gegen IST-Bilanz-Eigenkapitalveränderung (Eigenkapitalspiegel).</w:t>
      </w:r>
    </w:p>
    <w:p>
      <w:pPr>
        <w:pStyle w:val="ListNumber"/>
      </w:pPr>
      <w:r>
        <w:rPr>
          <w:b/>
        </w:rPr>
        <w:t>Kreuztabelle Blattübergänge:</w:t>
      </w:r>
      <w:r>
        <w:t xml:space="preserve"> Alle 84 Named Ranges auf korrekte Adressierung geprüft.</w:t>
      </w:r>
    </w:p>
    <w:p>
      <w:pPr>
        <w:pStyle w:val="ListNumber"/>
      </w:pPr>
      <w:r>
        <w:rPr>
          <w:b/>
        </w:rPr>
        <w:t>Konsistenz PARAM → Nachgelagerte Blätter:</w:t>
      </w:r>
      <w:r>
        <w:t xml:space="preserve"> 23 Parameter aus PARAM einzeln verändert und Auswirkung in allen 18 Blättern nachverfolgt.</w:t>
      </w:r>
    </w:p>
    <w:p/>
    <w:p>
      <w:pPr>
        <w:pStyle w:val="Heading2"/>
      </w:pPr>
      <w:r>
        <w:rPr>
          <w:rFonts w:ascii="Times New Roman" w:hAnsi="Times New Roman"/>
        </w:rPr>
        <w:t>Ergebnisse der Konsistenzprüfung</w:t>
      </w:r>
    </w:p>
    <w:p>
      <w:pPr>
        <w:pStyle w:val="Heading3"/>
      </w:pPr>
      <w:r>
        <w:rPr>
          <w:rFonts w:ascii="Times New Roman" w:hAnsi="Times New Roman"/>
        </w:rPr>
        <w:t>Befunde ohne Finding-Status (korrekt)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IST-GuV → PLAN-GuV Basisjahr-Übernahme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 verknüpft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 → PLAN-GuV Personalaufwand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Korrekt, Named Range "PersonalAufwand2026" stimmt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INVESTITIONEN → PLAN-BILANZ Sachanlagen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Korrekt; AfA-Plan konsistent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 → ZUSAMMENFASSUNG Liquiditätskennzahlen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PARAM Wachstumsraten → PLAN-GuV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 übernommen (PARAM!B5–B8)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Befunde mit Finding-Status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Finding-Nr.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Betroffene Blätter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Kurzbeschreibung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PLAN-CF ↔ ZINS-SCHULDEN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CF!E14, ZS!D9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Zirkulärer Bezug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PLAN-GuV, PLAN-BILANZ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 Hardcoded-Werte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PB!B44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Falsche SUM-Formel Bilanzsumme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ZS!C5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Formel durch Hardcoded ersetzt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Blattbrüche (inkonsistente manuelle Überschreibungen)</w:t>
      </w:r>
    </w:p>
    <w:p>
      <w:pPr>
        <w:jc w:val="left"/>
      </w:pPr>
      <w:r>
        <w:t>Folgende Blätter weisen Zellen auf, in denen Formelbezüge zu PARAM durch Hardcoded-Werte ersetzt wurden, ohne dass dies im Änderungsprotokoll dokumentiert ist:</w:t>
      </w:r>
    </w:p>
    <w:p>
      <w:pPr>
        <w:pStyle w:val="ListBullet"/>
      </w:pPr>
      <w:r>
        <w:t>ZINS-SCHULDEN!C5</w:t>
      </w:r>
      <w:r>
        <w:t xml:space="preserve"> (Zinssatz, siehe Finding 4)</w:t>
      </w:r>
    </w:p>
    <w:p>
      <w:pPr>
        <w:pStyle w:val="ListBullet"/>
      </w:pPr>
      <w:r>
        <w:t>PLAN-GuV!F22</w:t>
      </w:r>
      <w:r>
        <w:t xml:space="preserve"> (Umsatzwachstum Q3 2026: statt =PARAM!B5 wurde 0,072 eingetragen)</w:t>
      </w:r>
    </w:p>
    <w:p>
      <w:pPr>
        <w:pStyle w:val="ListBullet"/>
      </w:pPr>
      <w:r>
        <w:t>PLAN-CF!H8</w:t>
      </w:r>
      <w:r>
        <w:t xml:space="preserve"> (Forderungslaufzeit: statt =PARAM!B19 wurde 42 eingetragen)</w:t>
      </w:r>
    </w:p>
    <w:p/>
    <w:p>
      <w:pPr>
        <w:pStyle w:val="Heading2"/>
      </w:pPr>
      <w:r>
        <w:rPr>
          <w:rFonts w:ascii="Times New Roman" w:hAnsi="Times New Roman"/>
        </w:rPr>
        <w:t>Gesamtbewertung Konsistenz</w:t>
      </w:r>
    </w:p>
    <w:p>
      <w:pPr>
        <w:jc w:val="left"/>
      </w:pPr>
      <w:r>
        <w:t>Die Grundarchitektur des Modells ist konsistent aufgebaut. Die identifizierten Blattbrüche und der zirkuläre Bezug (Finding 1) sind jedoch schwerwiegende Mängel, die die Belastbarkeit des Modells als Grundlage für eine IDW-S-11-konforme Fortbestehensprognose infrage stellen.</w:t>
      </w:r>
    </w:p>
    <w:p>
      <w:pPr>
        <w:jc w:val="left"/>
      </w:pPr>
      <w:r>
        <w:rPr>
          <w:b/>
        </w:rPr>
        <w:t>Quellen:</w:t>
      </w:r>
      <w:r>
        <w:t xml:space="preserve"> IDW S 11 Tz. 22–31 (Modellkonsistenz und Parametersteuerung), https://www.idw.de; HGB § 252: https://dejure.org/gesetze/HGB/252.html.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