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06 — Review-Achse 2: Plausibilität / Zahlenstamm</w:t>
      </w:r>
    </w:p>
    <w:p>
      <w:pPr>
        <w:jc w:val="left"/>
      </w:pPr>
      <w:r>
        <w:rPr>
          <w:b/>
        </w:rPr>
        <w:t>Aktenzeichen:</w:t>
      </w:r>
      <w:r>
        <w:t xml:space="preserve"> TR-QK-2026-PFX-0712</w:t>
      </w:r>
    </w:p>
    <w:p>
      <w:pPr>
        <w:jc w:val="left"/>
      </w:pPr>
      <w:r>
        <w:rPr>
          <w:b/>
        </w:rPr>
        <w:t>Datum:</w:t>
      </w:r>
      <w:r>
        <w:t xml:space="preserve"> 11. Januar 2026</w:t>
      </w:r>
    </w:p>
    <w:p/>
    <w:p>
      <w:pPr>
        <w:pStyle w:val="Heading2"/>
      </w:pPr>
      <w:r>
        <w:rPr>
          <w:rFonts w:ascii="Times New Roman" w:hAnsi="Times New Roman"/>
        </w:rPr>
        <w:t>Prüfgegenstand</w:t>
      </w:r>
    </w:p>
    <w:p>
      <w:pPr>
        <w:jc w:val="left"/>
      </w:pPr>
      <w:r>
        <w:t>Die Plausibilitätsprüfung bewertet, ob die im Modell verwendeten Zahlen und Annahmen mit externen Referenzwerten, Branchen-Benchmarks und der historischen Performance von Paragrafix vereinbar sind.</w:t>
      </w:r>
    </w:p>
    <w:p/>
    <w:p>
      <w:pPr>
        <w:pStyle w:val="Heading2"/>
      </w:pPr>
      <w:r>
        <w:rPr>
          <w:rFonts w:ascii="Times New Roman" w:hAnsi="Times New Roman"/>
        </w:rPr>
        <w:t>Methodik</w:t>
      </w:r>
    </w:p>
    <w:p>
      <w:pPr>
        <w:pStyle w:val="ListBullet"/>
      </w:pPr>
      <w:r>
        <w:t>Vergleich Planannahmen v23 mit Istwerten 2023–2025 (intern).</w:t>
      </w:r>
    </w:p>
    <w:p>
      <w:pPr>
        <w:pStyle w:val="ListBullet"/>
      </w:pPr>
      <w:r>
        <w:t>Vergleich mit Branchenkennzahlen (B2B-Software-Hersteller Deutschland, SaaS, Mittelstand).</w:t>
      </w:r>
    </w:p>
    <w:p>
      <w:pPr>
        <w:pStyle w:val="ListBullet"/>
      </w:pPr>
      <w:r>
        <w:t>Vergleich Zinssatz-Annahmen mit EZB-Leitzins-Entwicklung und Marktzinsniveau Januar 2026.</w:t>
      </w:r>
    </w:p>
    <w:p>
      <w:pPr>
        <w:pStyle w:val="ListBullet"/>
      </w:pPr>
      <w:r>
        <w:t>Plausibilitätsprüfung Recovery-Wachstum 2027 (+17 %) gegen Marktumfeld.</w:t>
      </w:r>
    </w:p>
    <w:p/>
    <w:p>
      <w:pPr>
        <w:pStyle w:val="Heading2"/>
      </w:pPr>
      <w:r>
        <w:rPr>
          <w:rFonts w:ascii="Times New Roman" w:hAnsi="Times New Roman"/>
        </w:rPr>
        <w:t>Plausibilitätscheck: Umsatzplanung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Position</w:t>
            </w:r>
          </w:p>
        </w:tc>
        <w:tc>
          <w:tcPr>
            <w:tcW w:type="dxa" w:w="1512"/>
          </w:tcPr>
          <w:p>
            <w:r>
              <w:rPr>
                <w:rFonts w:ascii="Times New Roman" w:hAnsi="Times New Roman"/>
                <w:b/>
                <w:sz w:val="20"/>
              </w:rPr>
              <w:t>IST 2024</w:t>
            </w:r>
          </w:p>
        </w:tc>
        <w:tc>
          <w:tcPr>
            <w:tcW w:type="dxa" w:w="1512"/>
          </w:tcPr>
          <w:p>
            <w:r>
              <w:rPr>
                <w:rFonts w:ascii="Times New Roman" w:hAnsi="Times New Roman"/>
                <w:b/>
                <w:sz w:val="20"/>
              </w:rPr>
              <w:t>IST 2025 vorl.</w:t>
            </w:r>
          </w:p>
        </w:tc>
        <w:tc>
          <w:tcPr>
            <w:tcW w:type="dxa" w:w="1512"/>
          </w:tcPr>
          <w:p>
            <w:r>
              <w:rPr>
                <w:rFonts w:ascii="Times New Roman" w:hAnsi="Times New Roman"/>
                <w:b/>
                <w:sz w:val="20"/>
              </w:rPr>
              <w:t>Plan 2026</w:t>
            </w:r>
          </w:p>
        </w:tc>
        <w:tc>
          <w:tcPr>
            <w:tcW w:type="dxa" w:w="1512"/>
          </w:tcPr>
          <w:p>
            <w:r>
              <w:rPr>
                <w:rFonts w:ascii="Times New Roman" w:hAnsi="Times New Roman"/>
                <w:b/>
                <w:sz w:val="20"/>
              </w:rPr>
              <w:t>Plan 2027</w:t>
            </w:r>
          </w:p>
        </w:tc>
        <w:tc>
          <w:tcPr>
            <w:tcW w:type="dxa" w:w="1512"/>
          </w:tcPr>
          <w:p>
            <w:r>
              <w:rPr>
                <w:rFonts w:ascii="Times New Roman" w:hAnsi="Times New Roman"/>
                <w:b/>
                <w:sz w:val="20"/>
              </w:rPr>
              <w:t>Bewertung</w:t>
            </w:r>
          </w:p>
        </w:tc>
      </w:tr>
      <w:tr>
        <w:tc>
          <w:tcPr>
            <w:tcW w:type="dxa" w:w="1512"/>
          </w:tcPr>
          <w:p>
            <w:r>
              <w:rPr>
                <w:rFonts w:ascii="Times New Roman" w:hAnsi="Times New Roman"/>
                <w:sz w:val="20"/>
              </w:rPr>
              <w:t>Umsatz (TEUR)</w:t>
            </w:r>
          </w:p>
        </w:tc>
        <w:tc>
          <w:tcPr>
            <w:tcW w:type="dxa" w:w="1512"/>
          </w:tcPr>
          <w:p>
            <w:r>
              <w:rPr>
                <w:rFonts w:ascii="Times New Roman" w:hAnsi="Times New Roman"/>
                <w:sz w:val="20"/>
              </w:rPr>
              <w:t>9.840</w:t>
            </w:r>
          </w:p>
        </w:tc>
        <w:tc>
          <w:tcPr>
            <w:tcW w:type="dxa" w:w="1512"/>
          </w:tcPr>
          <w:p>
            <w:r>
              <w:rPr>
                <w:rFonts w:ascii="Times New Roman" w:hAnsi="Times New Roman"/>
                <w:sz w:val="20"/>
              </w:rPr>
              <w:t>8.110</w:t>
            </w:r>
          </w:p>
        </w:tc>
        <w:tc>
          <w:tcPr>
            <w:tcW w:type="dxa" w:w="1512"/>
          </w:tcPr>
          <w:p>
            <w:r>
              <w:rPr>
                <w:rFonts w:ascii="Times New Roman" w:hAnsi="Times New Roman"/>
                <w:sz w:val="20"/>
              </w:rPr>
              <w:t>8.240</w:t>
            </w:r>
          </w:p>
        </w:tc>
        <w:tc>
          <w:tcPr>
            <w:tcW w:type="dxa" w:w="1512"/>
          </w:tcPr>
          <w:p>
            <w:r>
              <w:rPr>
                <w:rFonts w:ascii="Times New Roman" w:hAnsi="Times New Roman"/>
                <w:sz w:val="20"/>
              </w:rPr>
              <w:t>9.650</w:t>
            </w:r>
          </w:p>
        </w:tc>
        <w:tc>
          <w:tcPr>
            <w:tcW w:type="dxa" w:w="1512"/>
          </w:tcPr>
          <w:p>
            <w:r>
              <w:rPr>
                <w:rFonts w:ascii="Times New Roman" w:hAnsi="Times New Roman"/>
                <w:sz w:val="20"/>
              </w:rPr>
              <w:t>2027-Wachstum +17 % fraglich</w:t>
            </w:r>
          </w:p>
        </w:tc>
      </w:tr>
      <w:tr>
        <w:tc>
          <w:tcPr>
            <w:tcW w:type="dxa" w:w="1512"/>
          </w:tcPr>
          <w:p>
            <w:r>
              <w:rPr>
                <w:rFonts w:ascii="Times New Roman" w:hAnsi="Times New Roman"/>
                <w:sz w:val="20"/>
              </w:rPr>
              <w:t>Wachstumsrate</w:t>
            </w:r>
          </w:p>
        </w:tc>
        <w:tc>
          <w:tcPr>
            <w:tcW w:type="dxa" w:w="1512"/>
          </w:tcPr>
          <w:p>
            <w:r>
              <w:rPr>
                <w:rFonts w:ascii="Times New Roman" w:hAnsi="Times New Roman"/>
                <w:sz w:val="20"/>
              </w:rPr>
              <w:t>+2,1 %</w:t>
            </w:r>
          </w:p>
        </w:tc>
        <w:tc>
          <w:tcPr>
            <w:tcW w:type="dxa" w:w="1512"/>
          </w:tcPr>
          <w:p>
            <w:r>
              <w:rPr>
                <w:rFonts w:ascii="Times New Roman" w:hAnsi="Times New Roman"/>
                <w:sz w:val="20"/>
              </w:rPr>
              <w:t>–17,6 %</w:t>
            </w:r>
          </w:p>
        </w:tc>
        <w:tc>
          <w:tcPr>
            <w:tcW w:type="dxa" w:w="1512"/>
          </w:tcPr>
          <w:p>
            <w:r>
              <w:rPr>
                <w:rFonts w:ascii="Times New Roman" w:hAnsi="Times New Roman"/>
                <w:sz w:val="20"/>
              </w:rPr>
              <w:t>+1,6 %</w:t>
            </w:r>
          </w:p>
        </w:tc>
        <w:tc>
          <w:tcPr>
            <w:tcW w:type="dxa" w:w="1512"/>
          </w:tcPr>
          <w:p>
            <w:r>
              <w:rPr>
                <w:rFonts w:ascii="Times New Roman" w:hAnsi="Times New Roman"/>
                <w:sz w:val="20"/>
              </w:rPr>
              <w:t>+17,1 %</w:t>
            </w:r>
          </w:p>
        </w:tc>
        <w:tc>
          <w:tcPr>
            <w:tcW w:type="dxa" w:w="1512"/>
          </w:tcPr>
          <w:p>
            <w:r>
              <w:rPr>
                <w:rFonts w:ascii="Times New Roman" w:hAnsi="Times New Roman"/>
                <w:sz w:val="20"/>
              </w:rPr>
              <w:t>Starke Erholung ohne Substrat</w:t>
            </w:r>
          </w:p>
        </w:tc>
      </w:tr>
      <w:tr>
        <w:tc>
          <w:tcPr>
            <w:tcW w:type="dxa" w:w="1512"/>
          </w:tcPr>
          <w:p>
            <w:r>
              <w:rPr>
                <w:rFonts w:ascii="Times New Roman" w:hAnsi="Times New Roman"/>
                <w:sz w:val="20"/>
              </w:rPr>
              <w:t>SaaS-Neuverträge</w:t>
            </w:r>
          </w:p>
        </w:tc>
        <w:tc>
          <w:tcPr>
            <w:tcW w:type="dxa" w:w="1512"/>
          </w:tcPr>
          <w:p>
            <w:r>
              <w:rPr>
                <w:rFonts w:ascii="Times New Roman" w:hAnsi="Times New Roman"/>
                <w:sz w:val="20"/>
              </w:rPr>
              <w:t>128</w:t>
            </w:r>
          </w:p>
        </w:tc>
        <w:tc>
          <w:tcPr>
            <w:tcW w:type="dxa" w:w="1512"/>
          </w:tcPr>
          <w:p>
            <w:r>
              <w:rPr>
                <w:rFonts w:ascii="Times New Roman" w:hAnsi="Times New Roman"/>
                <w:sz w:val="20"/>
              </w:rPr>
              <w:t>79</w:t>
            </w:r>
          </w:p>
        </w:tc>
        <w:tc>
          <w:tcPr>
            <w:tcW w:type="dxa" w:w="1512"/>
          </w:tcPr>
          <w:p>
            <w:r>
              <w:rPr>
                <w:rFonts w:ascii="Times New Roman" w:hAnsi="Times New Roman"/>
                <w:sz w:val="20"/>
              </w:rPr>
              <w:t>82</w:t>
            </w:r>
          </w:p>
        </w:tc>
        <w:tc>
          <w:tcPr>
            <w:tcW w:type="dxa" w:w="1512"/>
          </w:tcPr>
          <w:p>
            <w:r>
              <w:rPr>
                <w:rFonts w:ascii="Times New Roman" w:hAnsi="Times New Roman"/>
                <w:sz w:val="20"/>
              </w:rPr>
              <w:t>110</w:t>
            </w:r>
          </w:p>
        </w:tc>
        <w:tc>
          <w:tcPr>
            <w:tcW w:type="dxa" w:w="1512"/>
          </w:tcPr>
          <w:p>
            <w:r>
              <w:rPr>
                <w:rFonts w:ascii="Times New Roman" w:hAnsi="Times New Roman"/>
                <w:sz w:val="20"/>
              </w:rPr>
              <w:t>Recovery-Kurve ambitioniert</w:t>
            </w:r>
          </w:p>
        </w:tc>
      </w:tr>
    </w:tbl>
    <w:p>
      <w:pPr>
        <w:jc w:val="left"/>
      </w:pPr>
      <w:r>
        <w:t>Bewertung: Die Umsatzerholung um 17 % im Jahr 2027 erscheint für einen Nischenanbieter juristischer Datenbanken im deutschen Mittelstand ohne konkrete Vertriebsmaßnahmen oder Produktneuheiten nicht plausibel. Kein externer Marktbericht oder Vertriebsplan liegt bei.</w:t>
      </w:r>
    </w:p>
    <w:p/>
    <w:p>
      <w:pPr>
        <w:pStyle w:val="Heading2"/>
      </w:pPr>
      <w:r>
        <w:rPr>
          <w:rFonts w:ascii="Times New Roman" w:hAnsi="Times New Roman"/>
        </w:rPr>
        <w:t>Plausibilitätscheck: Kostenplanung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Position</w:t>
            </w:r>
          </w:p>
        </w:tc>
        <w:tc>
          <w:tcPr>
            <w:tcW w:type="dxa" w:w="1814"/>
          </w:tcPr>
          <w:p>
            <w:r>
              <w:rPr>
                <w:rFonts w:ascii="Times New Roman" w:hAnsi="Times New Roman"/>
                <w:b/>
                <w:sz w:val="20"/>
              </w:rPr>
              <w:t>IST 2025 vorl. (TEUR)</w:t>
            </w:r>
          </w:p>
        </w:tc>
        <w:tc>
          <w:tcPr>
            <w:tcW w:type="dxa" w:w="1814"/>
          </w:tcPr>
          <w:p>
            <w:r>
              <w:rPr>
                <w:rFonts w:ascii="Times New Roman" w:hAnsi="Times New Roman"/>
                <w:b/>
                <w:sz w:val="20"/>
              </w:rPr>
              <w:t>Plan 2026 (TEUR)</w:t>
            </w:r>
          </w:p>
        </w:tc>
        <w:tc>
          <w:tcPr>
            <w:tcW w:type="dxa" w:w="1814"/>
          </w:tcPr>
          <w:p>
            <w:r>
              <w:rPr>
                <w:rFonts w:ascii="Times New Roman" w:hAnsi="Times New Roman"/>
                <w:b/>
                <w:sz w:val="20"/>
              </w:rPr>
              <w:t>Einsparung %</w:t>
            </w:r>
          </w:p>
        </w:tc>
        <w:tc>
          <w:tcPr>
            <w:tcW w:type="dxa" w:w="1814"/>
          </w:tcPr>
          <w:p>
            <w:r>
              <w:rPr>
                <w:rFonts w:ascii="Times New Roman" w:hAnsi="Times New Roman"/>
                <w:b/>
                <w:sz w:val="20"/>
              </w:rPr>
              <w:t>Bewertung</w:t>
            </w:r>
          </w:p>
        </w:tc>
      </w:tr>
      <w:tr>
        <w:tc>
          <w:tcPr>
            <w:tcW w:type="dxa" w:w="1814"/>
          </w:tcPr>
          <w:p>
            <w:r>
              <w:rPr>
                <w:rFonts w:ascii="Times New Roman" w:hAnsi="Times New Roman"/>
                <w:sz w:val="20"/>
              </w:rPr>
              <w:t>Personalaufwand</w:t>
            </w:r>
          </w:p>
        </w:tc>
        <w:tc>
          <w:tcPr>
            <w:tcW w:type="dxa" w:w="1814"/>
          </w:tcPr>
          <w:p>
            <w:r>
              <w:rPr>
                <w:rFonts w:ascii="Times New Roman" w:hAnsi="Times New Roman"/>
                <w:sz w:val="20"/>
              </w:rPr>
              <w:t>5.420</w:t>
            </w:r>
          </w:p>
        </w:tc>
        <w:tc>
          <w:tcPr>
            <w:tcW w:type="dxa" w:w="1814"/>
          </w:tcPr>
          <w:p>
            <w:r>
              <w:rPr>
                <w:rFonts w:ascii="Times New Roman" w:hAnsi="Times New Roman"/>
                <w:sz w:val="20"/>
              </w:rPr>
              <w:t>4.920</w:t>
            </w:r>
          </w:p>
        </w:tc>
        <w:tc>
          <w:tcPr>
            <w:tcW w:type="dxa" w:w="1814"/>
          </w:tcPr>
          <w:p>
            <w:r>
              <w:rPr>
                <w:rFonts w:ascii="Times New Roman" w:hAnsi="Times New Roman"/>
                <w:sz w:val="20"/>
              </w:rPr>
              <w:t>–9,2 %</w:t>
            </w:r>
          </w:p>
        </w:tc>
        <w:tc>
          <w:tcPr>
            <w:tcW w:type="dxa" w:w="1814"/>
          </w:tcPr>
          <w:p>
            <w:r>
              <w:rPr>
                <w:rFonts w:ascii="Times New Roman" w:hAnsi="Times New Roman"/>
                <w:sz w:val="20"/>
              </w:rPr>
              <w:t>Stellenabbau 8 FTE unterstellt; Sozialplankosten fehlen</w:t>
            </w:r>
          </w:p>
        </w:tc>
      </w:tr>
      <w:tr>
        <w:tc>
          <w:tcPr>
            <w:tcW w:type="dxa" w:w="1814"/>
          </w:tcPr>
          <w:p>
            <w:r>
              <w:rPr>
                <w:rFonts w:ascii="Times New Roman" w:hAnsi="Times New Roman"/>
                <w:sz w:val="20"/>
              </w:rPr>
              <w:t>Sachaufwand</w:t>
            </w:r>
          </w:p>
        </w:tc>
        <w:tc>
          <w:tcPr>
            <w:tcW w:type="dxa" w:w="1814"/>
          </w:tcPr>
          <w:p>
            <w:r>
              <w:rPr>
                <w:rFonts w:ascii="Times New Roman" w:hAnsi="Times New Roman"/>
                <w:sz w:val="20"/>
              </w:rPr>
              <w:t>2.160</w:t>
            </w:r>
          </w:p>
        </w:tc>
        <w:tc>
          <w:tcPr>
            <w:tcW w:type="dxa" w:w="1814"/>
          </w:tcPr>
          <w:p>
            <w:r>
              <w:rPr>
                <w:rFonts w:ascii="Times New Roman" w:hAnsi="Times New Roman"/>
                <w:sz w:val="20"/>
              </w:rPr>
              <w:t>1.840</w:t>
            </w:r>
          </w:p>
        </w:tc>
        <w:tc>
          <w:tcPr>
            <w:tcW w:type="dxa" w:w="1814"/>
          </w:tcPr>
          <w:p>
            <w:r>
              <w:rPr>
                <w:rFonts w:ascii="Times New Roman" w:hAnsi="Times New Roman"/>
                <w:sz w:val="20"/>
              </w:rPr>
              <w:t>–14,8 %</w:t>
            </w:r>
          </w:p>
        </w:tc>
        <w:tc>
          <w:tcPr>
            <w:tcW w:type="dxa" w:w="1814"/>
          </w:tcPr>
          <w:p>
            <w:r>
              <w:rPr>
                <w:rFonts w:ascii="Times New Roman" w:hAnsi="Times New Roman"/>
                <w:sz w:val="20"/>
              </w:rPr>
              <w:t>Einsparung ohne Detailnachweis</w:t>
            </w:r>
          </w:p>
        </w:tc>
      </w:tr>
      <w:tr>
        <w:tc>
          <w:tcPr>
            <w:tcW w:type="dxa" w:w="1814"/>
          </w:tcPr>
          <w:p>
            <w:r>
              <w:rPr>
                <w:rFonts w:ascii="Times New Roman" w:hAnsi="Times New Roman"/>
                <w:sz w:val="20"/>
              </w:rPr>
              <w:t>Abschreibungen</w:t>
            </w:r>
          </w:p>
        </w:tc>
        <w:tc>
          <w:tcPr>
            <w:tcW w:type="dxa" w:w="1814"/>
          </w:tcPr>
          <w:p>
            <w:r>
              <w:rPr>
                <w:rFonts w:ascii="Times New Roman" w:hAnsi="Times New Roman"/>
                <w:sz w:val="20"/>
              </w:rPr>
              <w:t>380</w:t>
            </w:r>
          </w:p>
        </w:tc>
        <w:tc>
          <w:tcPr>
            <w:tcW w:type="dxa" w:w="1814"/>
          </w:tcPr>
          <w:p>
            <w:r>
              <w:rPr>
                <w:rFonts w:ascii="Times New Roman" w:hAnsi="Times New Roman"/>
                <w:sz w:val="20"/>
              </w:rPr>
              <w:t>310</w:t>
            </w:r>
          </w:p>
        </w:tc>
        <w:tc>
          <w:tcPr>
            <w:tcW w:type="dxa" w:w="1814"/>
          </w:tcPr>
          <w:p>
            <w:r>
              <w:rPr>
                <w:rFonts w:ascii="Times New Roman" w:hAnsi="Times New Roman"/>
                <w:sz w:val="20"/>
              </w:rPr>
              <w:t>–18,4 %</w:t>
            </w:r>
          </w:p>
        </w:tc>
        <w:tc>
          <w:tcPr>
            <w:tcW w:type="dxa" w:w="1814"/>
          </w:tcPr>
          <w:p>
            <w:r>
              <w:rPr>
                <w:rFonts w:ascii="Times New Roman" w:hAnsi="Times New Roman"/>
                <w:sz w:val="20"/>
              </w:rPr>
              <w:t>Capex-Rückgang plausibel</w:t>
            </w:r>
          </w:p>
        </w:tc>
      </w:tr>
    </w:tbl>
    <w:p>
      <w:pPr>
        <w:jc w:val="left"/>
      </w:pPr>
      <w:r>
        <w:rPr>
          <w:b/>
        </w:rPr>
        <w:t>Kritisch:</w:t>
      </w:r>
      <w:r>
        <w:t xml:space="preserve"> Die Einsparung von 8 FTE setzt Abfindungsleistungen voraus (ca. 3,5 Monatsverdienste je Person, branchenüblich), die im Modell nicht vollständig als Einmalaufwand verbucht sind. Schätzung Reviewer: fehlende Abfindungsrückstellung ca. 310 TEUR (separat Finding 5).</w:t>
      </w:r>
    </w:p>
    <w:p/>
    <w:p>
      <w:pPr>
        <w:pStyle w:val="Heading2"/>
      </w:pPr>
      <w:r>
        <w:rPr>
          <w:rFonts w:ascii="Times New Roman" w:hAnsi="Times New Roman"/>
        </w:rPr>
        <w:t>Plausibilitätscheck: Zinsen</w:t>
      </w:r>
    </w:p>
    <w:p>
      <w:pPr>
        <w:jc w:val="left"/>
      </w:pPr>
      <w:r>
        <w:t>Zum Stichtag 09. Januar 2026 liegt der EZB-Hauptrefinanzierungssatz bei 3,15 %. Marktüblicher Kontokorrentzins für Unternehmen mit deutlich erhöhtem Kreditrisiko (Ratingverschlechterung auf Basis aktueller Kennzahlen) liegt bei 6,0–7,5 % p.a.</w:t>
      </w:r>
    </w:p>
    <w:p>
      <w:pPr>
        <w:jc w:val="left"/>
      </w:pPr>
      <w:r>
        <w:t>Modell v23 verwendet 4,9 % (hardcoded, Finding 4). Dies unterschätzt die reale Zinslast erheblich.</w:t>
      </w:r>
    </w:p>
    <w:p/>
    <w:p>
      <w:pPr>
        <w:pStyle w:val="Heading2"/>
      </w:pPr>
      <w:r>
        <w:rPr>
          <w:rFonts w:ascii="Times New Roman" w:hAnsi="Times New Roman"/>
        </w:rPr>
        <w:t>Gesamtbewertung Plausibilität</w:t>
      </w:r>
    </w:p>
    <w:p>
      <w:pPr>
        <w:jc w:val="left"/>
      </w:pPr>
      <w:r>
        <w:t>Die Planwerte v23 sind in mehreren wesentlichen Positionen nicht durch externe Belege oder nachvollziehbare Annahmen gestützt. Die Kombination aus optimistischer Umsatzerholung, unterschätzten Personalabbaueinsparungen und zu niedrigem Zinssatz erzeugt ein systematisch zu positives Bild.</w:t>
      </w:r>
    </w:p>
    <w:p>
      <w:pPr>
        <w:jc w:val="left"/>
      </w:pPr>
      <w:r>
        <w:rPr>
          <w:b/>
        </w:rPr>
        <w:t>Quellen:</w:t>
      </w:r>
      <w:r>
        <w:t xml:space="preserve"> IDW S 11 Tz. 32–38 (Plausibilisierung von Planannahmen), https://www.idw.de; HGB § 252 Nr. 4 (Vorsichtsprinzip), https://dejure.org/gesetze/HGB/252.html.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