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Review-Achse 3: Formelarchitektur / Zirkularität</w:t>
      </w:r>
    </w:p>
    <w:p>
      <w:pPr>
        <w:jc w:val="left"/>
      </w:pPr>
      <w:r>
        <w:rPr>
          <w:b/>
        </w:rPr>
        <w:t>Aktenzeichen:</w:t>
      </w:r>
      <w:r>
        <w:t xml:space="preserve"> TR-QK-2026-PFX-0712</w:t>
      </w:r>
    </w:p>
    <w:p>
      <w:pPr>
        <w:jc w:val="left"/>
      </w:pPr>
      <w:r>
        <w:rPr>
          <w:b/>
        </w:rPr>
        <w:t>Datum:</w:t>
      </w:r>
      <w:r>
        <w:t xml:space="preserve"> 11./12. Januar 2026</w:t>
      </w:r>
    </w:p>
    <w:p/>
    <w:p>
      <w:pPr>
        <w:pStyle w:val="Heading2"/>
      </w:pPr>
      <w:r>
        <w:rPr>
          <w:rFonts w:ascii="Times New Roman" w:hAnsi="Times New Roman"/>
        </w:rPr>
        <w:t>Prüfgegenstand</w:t>
      </w:r>
    </w:p>
    <w:p>
      <w:pPr>
        <w:jc w:val="left"/>
      </w:pPr>
      <w:r>
        <w:t>Die Formelarchitektur-Prüfung untersucht:</w:t>
      </w:r>
    </w:p>
    <w:p>
      <w:pPr>
        <w:pStyle w:val="ListBullet"/>
      </w:pPr>
      <w:r>
        <w:t>Zirkuläre Bezüge (Circular References) und deren Behandlung.</w:t>
      </w:r>
    </w:p>
    <w:p>
      <w:pPr>
        <w:pStyle w:val="ListBullet"/>
      </w:pPr>
      <w:r>
        <w:t>Verwendung volatiler Funktionen (INDIRECT, OFFSET, NOW, TODAY).</w:t>
      </w:r>
    </w:p>
    <w:p>
      <w:pPr>
        <w:pStyle w:val="ListBullet"/>
      </w:pPr>
      <w:r>
        <w:t>Hardcoded-Werte in Rechenbereichen.</w:t>
      </w:r>
    </w:p>
    <w:p>
      <w:pPr>
        <w:pStyle w:val="ListBullet"/>
      </w:pPr>
      <w:r>
        <w:t>Namenskonventionen und Dokumentation der Named Ranges.</w:t>
      </w:r>
    </w:p>
    <w:p>
      <w:pPr>
        <w:pStyle w:val="ListBullet"/>
      </w:pPr>
      <w:r>
        <w:t>VBA-Makros und deren Einfluss auf Modellintegrität.</w:t>
      </w:r>
    </w:p>
    <w:p/>
    <w:p>
      <w:pPr>
        <w:pStyle w:val="Heading2"/>
      </w:pPr>
      <w:r>
        <w:rPr>
          <w:rFonts w:ascii="Times New Roman" w:hAnsi="Times New Roman"/>
        </w:rPr>
        <w:t>Zirkuläre Bezüge</w:t>
      </w:r>
    </w:p>
    <w:p>
      <w:pPr>
        <w:jc w:val="left"/>
      </w:pPr>
      <w:r>
        <w:t>Excel-Iterationsrechnung ist im Modell v23 aktiviert (Maximaliterationen: 100, Änderungstoleranz: 0,001). Dies ist eine verbreitete, aber riskante Methode zur Behandlung von Zirkularbezügen in Finanzmodellen.</w:t>
      </w:r>
    </w:p>
    <w:p>
      <w:pPr>
        <w:jc w:val="left"/>
      </w:pPr>
      <w:r>
        <w:rPr>
          <w:b/>
        </w:rPr>
        <w:t>Identifizierter Zirkularbezug (Finding 1):</w:t>
      </w:r>
    </w:p>
    <w:p>
      <w:pPr>
        <w:jc w:val="left"/>
      </w:pPr>
      <w:r>
        <w:t>```</w:t>
      </w:r>
    </w:p>
    <w:p>
      <w:pPr>
        <w:jc w:val="left"/>
      </w:pPr>
      <w:r>
        <w:t>PLAN-CF!E14 (Zinsaufwand CF-Planung)</w:t>
      </w:r>
    </w:p>
    <w:p>
      <w:pPr>
        <w:jc w:val="left"/>
      </w:pPr>
      <w:r>
        <w:t>= ZINS-SCHULDEN!D9 (Zinsberechnung auf Kontokorrentbasis)</w:t>
      </w:r>
    </w:p>
    <w:p>
      <w:pPr>
        <w:jc w:val="left"/>
      </w:pPr>
      <w:r>
        <w:t>= f(LIQUIDITAET!C18, ZINS-SCHULDEN!C5)</w:t>
      </w:r>
    </w:p>
    <w:p>
      <w:pPr>
        <w:jc w:val="left"/>
      </w:pPr>
      <w:r>
        <w:t>wobei LIQUIDITAET!C18 = f(PLAN-CF!E14)</w:t>
      </w:r>
    </w:p>
    <w:p>
      <w:pPr>
        <w:jc w:val="left"/>
      </w:pPr>
      <w:r>
        <w:t>```</w:t>
      </w:r>
    </w:p>
    <w:p>
      <w:pPr>
        <w:jc w:val="left"/>
      </w:pPr>
      <w:r>
        <w:t xml:space="preserve">Der Zirkularbezug ist nur durch Iterationsrechnung lösbar. Bei Deaktivierung der Iteration springt das Modell auf Fehlerwert #WERT! bzw. auf den Wert 0 in </w:t>
      </w:r>
      <w:r>
        <w:t>PLAN-CF!E14</w:t>
      </w:r>
      <w:r>
        <w:t>, was zu einem um ca. 186 TEUR zu hohen Cashflow führt.</w:t>
      </w:r>
    </w:p>
    <w:p/>
    <w:p>
      <w:pPr>
        <w:pStyle w:val="Heading2"/>
      </w:pPr>
      <w:r>
        <w:rPr>
          <w:rFonts w:ascii="Times New Roman" w:hAnsi="Times New Roman"/>
        </w:rPr>
        <w:t>Volatile Funktionen</w:t>
      </w:r>
    </w:p>
    <w:p>
      <w:pPr>
        <w:jc w:val="left"/>
      </w:pPr>
      <w:r>
        <w:t>37 volatile Funktionen gefunden. Volatile Funktionen werden bei jeder Berechnung neu ausgewertet und können zu instabilem Modellverhalten führen.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 Vorkommen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Blatt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INDIRECT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PLAN-GuV, SZENARIEN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Mittel: Verweisbruch bei Umbenennung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OFFSET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LIQUIDITÄT, PLAN-CF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Mittel: Bereichsverschiebung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NOW / TODAY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DECKBLATT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Niedrig: nur Datumsanzeige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Hardcoded-Werte in Rechenbereichen</w:t>
      </w:r>
    </w:p>
    <w:p>
      <w:pPr>
        <w:jc w:val="left"/>
      </w:pPr>
      <w:r>
        <w:t>47 Hardcoded-Werte wurden in Blättern identifiziert, die gemäß Modellkonvention als Rechenblätter (gelb) klassifiziert sind. Die Verwendung von Hardcoded-Werten in Rechenbereichen verstößt gegen Good-Practice-Anforderungen von Finanzmodellen und erschwert die Nachvollziehbarkeit (Finding 2, detailliert in Aktenstück 09).</w:t>
      </w:r>
    </w:p>
    <w:p/>
    <w:p>
      <w:pPr>
        <w:pStyle w:val="Heading2"/>
      </w:pPr>
      <w:r>
        <w:rPr>
          <w:rFonts w:ascii="Times New Roman" w:hAnsi="Times New Roman"/>
        </w:rPr>
        <w:t>Named-Range-Qualität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Befund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Konvention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Gemischt (Camelcase und GROSSBUCHSTABEN, nicht einheitlich)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Dokumentation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 Named Ranges; Beschreibungsfeld leer bei 61 von 84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Redundanzen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doppelt definierte Ranges identifiziert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Verwaiste Ranges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 Ranges referenzieren gelöschte Bereiche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VBA-Makro (Finding 9)</w:t>
      </w:r>
    </w:p>
    <w:p>
      <w:pPr>
        <w:jc w:val="left"/>
      </w:pPr>
      <w:r>
        <w:t xml:space="preserve">Ein VBA-Modul </w:t>
      </w:r>
      <w:r>
        <w:t>Module1</w:t>
      </w:r>
      <w:r>
        <w:t xml:space="preserve"> enthält eine Prozedur </w:t>
      </w:r>
      <w:r>
        <w:t>UpdateSollwerte</w:t>
      </w:r>
      <w:r>
        <w:t xml:space="preserve">, die beim Öffnen der Datei ausgeführt wird und Planwerte in </w:t>
      </w:r>
      <w:r>
        <w:t>PLAN-GuV</w:t>
      </w:r>
      <w:r>
        <w:t xml:space="preserve"> und </w:t>
      </w:r>
      <w:r>
        <w:t>LIQUIDITAET</w:t>
      </w:r>
      <w:r>
        <w:t xml:space="preserve"> überschreibt. Dies untergräbt die Modellintegrität (Finding 9, detailliert in Aktenstück 16).</w:t>
      </w:r>
    </w:p>
    <w:p/>
    <w:p>
      <w:pPr>
        <w:pStyle w:val="Heading2"/>
      </w:pPr>
      <w:r>
        <w:rPr>
          <w:rFonts w:ascii="Times New Roman" w:hAnsi="Times New Roman"/>
        </w:rPr>
        <w:t>Gesamtbewertung Formelarchitektur</w:t>
      </w:r>
    </w:p>
    <w:p>
      <w:pPr>
        <w:jc w:val="left"/>
      </w:pPr>
      <w:r>
        <w:t>Die Formelarchitektur weist multiple strukturelle Schwächen auf. Die Kombination aus Zirkularbezug mit Iterationsrechnung, volatilen Funktionen, Hardcoded-Werten und einem aktiven VBA-Makro macht das Modell v23 in seiner aktuellen Form als Grundlage für eine IDW-S-11-konforme Fortbestehensprognose ungeeignet.</w:t>
      </w:r>
    </w:p>
    <w:p>
      <w:pPr>
        <w:jc w:val="left"/>
      </w:pPr>
      <w:r>
        <w:rPr>
          <w:b/>
        </w:rPr>
        <w:t>Quellen:</w:t>
      </w:r>
      <w:r>
        <w:t xml:space="preserve"> IDW S 11 Tz. 22–42, https://www.idw.de; FAST Financial Modelling Standard, https://www.fast-standard.org.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