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09 — Finding 2: Hardcoded Werte statt Formeln</w:t>
      </w:r>
    </w:p>
    <w:p>
      <w:pPr>
        <w:jc w:val="left"/>
      </w:pPr>
      <w:r>
        <w:rPr>
          <w:b/>
        </w:rPr>
        <w:t>Aktenzeichen:</w:t>
      </w:r>
      <w:r>
        <w:t xml:space="preserve"> TR-QK-2026-PFX-0712</w:t>
      </w:r>
    </w:p>
    <w:p>
      <w:pPr>
        <w:jc w:val="left"/>
      </w:pPr>
      <w:r>
        <w:rPr>
          <w:b/>
        </w:rPr>
        <w:t>Finding-ID:</w:t>
      </w:r>
      <w:r>
        <w:t xml:space="preserve"> F-02</w:t>
      </w:r>
    </w:p>
    <w:p>
      <w:pPr>
        <w:jc w:val="left"/>
      </w:pPr>
      <w:r>
        <w:rPr>
          <w:b/>
        </w:rPr>
        <w:t>Schwere:</w:t>
      </w:r>
      <w:r>
        <w:t xml:space="preserve"> Hoch</w:t>
      </w:r>
    </w:p>
    <w:p>
      <w:pPr>
        <w:jc w:val="left"/>
      </w:pPr>
      <w:r>
        <w:rPr>
          <w:b/>
        </w:rPr>
        <w:t>Entdeckt:</w:t>
      </w:r>
      <w:r>
        <w:t xml:space="preserve"> 11. Januar 2026</w:t>
      </w:r>
    </w:p>
    <w:p/>
    <w:p>
      <w:pPr>
        <w:pStyle w:val="Heading2"/>
      </w:pPr>
      <w:r>
        <w:rPr>
          <w:rFonts w:ascii="Times New Roman" w:hAnsi="Times New Roman"/>
        </w:rPr>
        <w:t>Sachverhalt</w:t>
      </w:r>
    </w:p>
    <w:p>
      <w:pPr>
        <w:jc w:val="left"/>
      </w:pPr>
      <w:r>
        <w:t>In den als Rechenblätter (gelb, Modellkonvention) klassifizierten Blättern wurden 47 Zellen identifiziert, in denen Formelbezüge durch direkte numerische Werte (Hardcoded) ersetzt wurden. Dies widerspricht der Modellkonvention und Best-Practice-Anforderungen.</w:t>
      </w:r>
    </w:p>
    <w:p/>
    <w:p>
      <w:pPr>
        <w:pStyle w:val="Heading2"/>
      </w:pPr>
      <w:r>
        <w:rPr>
          <w:rFonts w:ascii="Times New Roman" w:hAnsi="Times New Roman"/>
        </w:rPr>
        <w:t>Aufstellung der schwerwiegendsten Hardcoded-Werte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Blatt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Zelle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Hardcoded-Wert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Erwartete Formel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Auswirkung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PLAN-GuV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F22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0,072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=PARAM!B5 (Wachstumsrate Q3 2026)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ca. +38 TEUR zu optimistisch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PLAN-CF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=PARAM!B19 (DSO Forderungslaufzeit Tage)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ca. +95 TEUR Cashflow-Verschiebung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ZINS-SCHULDEN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0,049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=PARAM!B12 (Zinssatz)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–186 TEUR Zinslast (Finding 4)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LIQUIDITÄT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D11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350000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=PARAM!B25 (Mindestliquidität)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Indirekte Auswirkung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PERSONAL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G18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=PARAM!B31 (Abfindungsmonate)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ca. +310 TEUR fehlend (Finding 5)</w:t>
            </w:r>
          </w:p>
        </w:tc>
      </w:tr>
    </w:tbl>
    <w:p>
      <w:pPr>
        <w:jc w:val="left"/>
      </w:pPr>
      <w:r>
        <w:t>Weitere 42 Hardcoded-Werte geringerer Materialität dokumentiert im Findings-Register.</w:t>
      </w:r>
    </w:p>
    <w:p/>
    <w:p>
      <w:pPr>
        <w:pStyle w:val="Heading2"/>
      </w:pPr>
      <w:r>
        <w:rPr>
          <w:rFonts w:ascii="Times New Roman" w:hAnsi="Times New Roman"/>
        </w:rPr>
        <w:t>Gesamtauswirkung</w:t>
      </w:r>
    </w:p>
    <w:p>
      <w:pPr>
        <w:jc w:val="left"/>
      </w:pPr>
      <w:r>
        <w:t>Die kumulierte Auswirkung der wesentlichen Hardcoded-Werte auf das Modellergebnis beläuft sich auf ca. +329 TEUR im ausgewiesenen Liquiditätsüberschuss (d.h. das Modell weist diesen Betrag zu positiv aus).</w:t>
      </w:r>
    </w:p>
    <w:p/>
    <w:p>
      <w:pPr>
        <w:pStyle w:val="Heading2"/>
      </w:pPr>
      <w:r>
        <w:rPr>
          <w:rFonts w:ascii="Times New Roman" w:hAnsi="Times New Roman"/>
        </w:rPr>
        <w:t>Screenshot-Dokumentation</w:t>
      </w:r>
    </w:p>
    <w:p>
      <w:pPr>
        <w:jc w:val="left"/>
      </w:pPr>
      <w:r>
        <w:t xml:space="preserve">Annotierter Screenshot der Zellen </w:t>
      </w:r>
      <w:r>
        <w:t>PLAN-CF!H5:H12</w:t>
      </w:r>
      <w:r>
        <w:t xml:space="preserve"> (Hardcoded-Werte gelb hinterlegt, Reviewer-Annotation) in </w:t>
      </w:r>
      <w:r>
        <w:t>jpg/screenshot-finding-2-hardcoded.jpg</w:t>
      </w:r>
      <w:r>
        <w:t>.</w:t>
      </w:r>
    </w:p>
    <w:p/>
    <w:p>
      <w:pPr>
        <w:pStyle w:val="Heading2"/>
      </w:pPr>
      <w:r>
        <w:rPr>
          <w:rFonts w:ascii="Times New Roman" w:hAnsi="Times New Roman"/>
        </w:rPr>
        <w:t>Empfehlung</w:t>
      </w:r>
    </w:p>
    <w:p>
      <w:pPr>
        <w:jc w:val="left"/>
      </w:pPr>
      <w:r>
        <w:t>Alle 47 Hardcoded-Werte sind durch Formelbezüge auf den zentralen Parameterbereich (PARAM) zu ersetzen. Eine Vollständigkeitsprüfung ist durch den Modellentwickler schriftlich zu bestätigen.</w:t>
      </w:r>
    </w:p>
    <w:p>
      <w:pPr>
        <w:jc w:val="left"/>
      </w:pPr>
      <w:r>
        <w:rPr>
          <w:b/>
        </w:rPr>
        <w:t>Verantwortlich:</w:t>
      </w:r>
      <w:r>
        <w:t xml:space="preserve"> CFO Pellbach-Roosendaal / externer Modellentwickler.</w:t>
      </w:r>
    </w:p>
    <w:p>
      <w:pPr>
        <w:jc w:val="left"/>
      </w:pPr>
      <w:r>
        <w:rPr>
          <w:b/>
        </w:rPr>
        <w:t>Frist:</w:t>
      </w:r>
      <w:r>
        <w:t xml:space="preserve"> 5 Arbeitstage.</w:t>
      </w:r>
    </w:p>
    <w:p>
      <w:pPr>
        <w:jc w:val="left"/>
      </w:pPr>
      <w:r>
        <w:rPr>
          <w:b/>
        </w:rPr>
        <w:t>Quellen:</w:t>
      </w:r>
      <w:r>
        <w:t xml:space="preserve"> FAST Financial Modelling Standard Tz. 4.2 (Input-Separation), https://www.fast-standard.org; IDW S 11 Tz. 22 ff., https://www.idw.de.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