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Finding 4: Veraltete Prognoseannahmen Zinsen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Finding-ID:</w:t>
      </w:r>
      <w:r>
        <w:t xml:space="preserve"> F-04</w:t>
      </w:r>
    </w:p>
    <w:p>
      <w:pPr>
        <w:jc w:val="left"/>
      </w:pPr>
      <w:r>
        <w:rPr>
          <w:b/>
        </w:rPr>
        <w:t>Schwere:</w:t>
      </w:r>
      <w:r>
        <w:t xml:space="preserve"> Kritisch (Manipulationsverdacht)</w:t>
      </w:r>
    </w:p>
    <w:p>
      <w:pPr>
        <w:jc w:val="left"/>
      </w:pPr>
      <w:r>
        <w:rPr>
          <w:b/>
        </w:rPr>
        <w:t>Entdeckt:</w:t>
      </w:r>
      <w:r>
        <w:t xml:space="preserve"> 12. Januar 2026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 xml:space="preserve">Zwischen den Modellversionen v22 und v23 wurde der Zinssatz für den Kontokorrentkredit in Zelle </w:t>
      </w:r>
      <w:r>
        <w:t>ZINS-SCHULDEN!C5</w:t>
      </w:r>
      <w:r>
        <w:t xml:space="preserve"> von 6,2 % auf 4,9 % p.a. reduziert. Diese Änderung erfolgte:</w:t>
      </w:r>
    </w:p>
    <w:p>
      <w:pPr>
        <w:pStyle w:val="ListBullet"/>
      </w:pPr>
      <w:r>
        <w:t xml:space="preserve">Durch direktes Überschreiben der Formel </w:t>
      </w:r>
      <w:r>
        <w:t>=PARAM!B12</w:t>
      </w:r>
      <w:r>
        <w:t xml:space="preserve"> mit dem Hardcoded-Wert </w:t>
      </w:r>
      <w:r>
        <w:t>0,049</w:t>
      </w:r>
      <w:r>
        <w:t>.</w:t>
      </w:r>
    </w:p>
    <w:p>
      <w:pPr>
        <w:pStyle w:val="ListBullet"/>
      </w:pPr>
      <w:r>
        <w:t xml:space="preserve">Ohne Anpassung des zentralen Parameterwertes in </w:t>
      </w:r>
      <w:r>
        <w:t>PARAM!B12</w:t>
      </w:r>
      <w:r>
        <w:t xml:space="preserve"> (bleibt bei 6,2 %).</w:t>
      </w:r>
    </w:p>
    <w:p>
      <w:pPr>
        <w:pStyle w:val="ListBullet"/>
      </w:pPr>
      <w:r>
        <w:t>Ohne Dokumentation im internen Änderungsprotokoll des Modells.</w:t>
      </w:r>
    </w:p>
    <w:p>
      <w:pPr>
        <w:pStyle w:val="ListBullet"/>
      </w:pPr>
      <w:r>
        <w:t>Ohne Quellenbeleg für den neuen Zinssatz.</w:t>
      </w:r>
    </w:p>
    <w:p/>
    <w:p>
      <w:pPr>
        <w:pStyle w:val="Heading2"/>
      </w:pPr>
      <w:r>
        <w:rPr>
          <w:rFonts w:ascii="Times New Roman" w:hAnsi="Times New Roman"/>
        </w:rPr>
        <w:t>Marktlage Zinsen Januar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Referenz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(Jan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EZB Hauptrefinanzierungssatz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3,15 %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3M-Euribor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2,88 %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Marktüblicher KK-Zins, Investment Grade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4,5–5,5 %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Marktüblicher KK-Zins, erhöhtes Kreditrisiko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6,0–7,5 %</w:t>
            </w:r>
          </w:p>
        </w:tc>
      </w:tr>
    </w:tbl>
    <w:p>
      <w:pPr>
        <w:jc w:val="left"/>
      </w:pPr>
      <w:r>
        <w:t>Paragrafix GmbH weist eine deutlich erhöhte Kreditrisikoeinschätzung auf (Umsatzrückgang –17,6 % 2025, ausgeschöpfte Kreditlinie). Ein Zinssatz von 4,9 % entspricht einer Investment-Grade-Bewertung, die für Paragrafix nicht zutreffend ist.</w:t>
      </w:r>
    </w:p>
    <w:p/>
    <w:p>
      <w:pPr>
        <w:pStyle w:val="Heading2"/>
      </w:pPr>
      <w:r>
        <w:rPr>
          <w:rFonts w:ascii="Times New Roman" w:hAnsi="Times New Roman"/>
        </w:rPr>
        <w:t>Auswirkung der Zinssatz-Absenkung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Zinssatz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Zinsaufwand 2026 (TEUR)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Zinsaufwand 2027 (TEUR)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Delta kumuliert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v23 (Modell)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4,9 %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v22-Niveau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6,2 %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+49 TEUR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Marktkonform (7,0 %)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7,0 %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+81 TEUR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Marktkonform (7,5 %)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7,5 %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+99 TEUR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Rechtliche Einordnung</w:t>
      </w:r>
    </w:p>
    <w:p>
      <w:pPr>
        <w:jc w:val="left"/>
      </w:pPr>
      <w:r>
        <w:t>Die nicht dokumentierte, parameterentkoppelte Absenkung einer wesentlichen Annahme, die das Prognose-Gesamtergebnis maßgeblich beeinflusst, begründet den Verdacht einer bewussten Ergebnismanipulation:</w:t>
      </w:r>
    </w:p>
    <w:p>
      <w:pPr>
        <w:pStyle w:val="ListBullet"/>
      </w:pPr>
      <w:r>
        <w:rPr>
          <w:b/>
        </w:rPr>
        <w:t>§ 283b StGB</w:t>
      </w:r>
      <w:r>
        <w:t xml:space="preserve"> (Verletzung der Buchführungspflicht durch ungenaue Darstellung): Der geschäftsführende GF haftet persönlich, wenn er ein Modell zur Grundlage von Geschäftsentscheidungen macht, das er kennt oder kennen musste als fehlerhaft.</w:t>
      </w:r>
    </w:p>
    <w:p>
      <w:pPr>
        <w:pStyle w:val="ListBullet"/>
      </w:pPr>
      <w:r>
        <w:rPr>
          <w:b/>
        </w:rPr>
        <w:t>§ 15a InsO</w:t>
      </w:r>
      <w:r>
        <w:t xml:space="preserve"> (Insolvenzantragspflicht): Wenn nach Korrektur des Zinssatzes das Modell in den negativen Bereich kippt, könnte die Antragspflicht des GF ausgelöst sein.</w:t>
      </w:r>
    </w:p>
    <w:p>
      <w:pPr>
        <w:pStyle w:val="ListBullet"/>
      </w:pPr>
      <w:r>
        <w:rPr>
          <w:b/>
        </w:rPr>
        <w:t>AktG § 91</w:t>
      </w:r>
      <w:r>
        <w:t xml:space="preserve"> (analog über GmbH-Recht): Pflicht zur ordnungsgemäßen Risikofrüherkennnung.</w:t>
      </w:r>
    </w:p>
    <w:p>
      <w:pPr>
        <w:jc w:val="left"/>
      </w:pPr>
      <w:r>
        <w:rPr>
          <w:b/>
        </w:rPr>
        <w:t>Quellen:</w:t>
      </w:r>
      <w:r>
        <w:t xml:space="preserve"> StGB § 283b: https://dejure.org/gesetze/StGB/283b.html; InsO § 15a: https://dejure.org/gesetze/InsO/15a.html; AktG § 91: https://dejure.org/gesetze/AktG/91.html.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Sofortige Korrektur auf marktkonformen Zinssatz (Reviewer-Empfehlung: 6,5 % als konservative Mitte). Dokumentation der Quellengrundlage (Bankschreiben oder Marktzinsreferenz). Strafrechtliche Beratung durch externen Strafrechtsexperten für GF Dr. Vellbruck-Steinheim unverzüglich einholen.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